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28" w:rsidRPr="006D5470" w:rsidRDefault="00644728" w:rsidP="00C97B6D">
      <w:pPr>
        <w:spacing w:line="240" w:lineRule="auto"/>
        <w:jc w:val="center"/>
        <w:rPr>
          <w:rFonts w:ascii="Times New Roman" w:hAnsi="Times New Roman" w:cs="Times New Roman"/>
          <w:b/>
          <w:sz w:val="24"/>
          <w:szCs w:val="24"/>
        </w:rPr>
      </w:pPr>
      <w:r w:rsidRPr="006D5470">
        <w:rPr>
          <w:rFonts w:ascii="Times New Roman" w:hAnsi="Times New Roman" w:cs="Times New Roman"/>
          <w:b/>
          <w:sz w:val="24"/>
          <w:szCs w:val="24"/>
        </w:rPr>
        <w:t>POLICY ON PRESERVATION OF DOCUMENTS</w:t>
      </w:r>
    </w:p>
    <w:p w:rsidR="003D16B0" w:rsidRPr="006D5470" w:rsidRDefault="003D16B0" w:rsidP="006263C8">
      <w:pPr>
        <w:pStyle w:val="Default"/>
        <w:jc w:val="both"/>
        <w:rPr>
          <w:rFonts w:ascii="Times New Roman" w:hAnsi="Times New Roman" w:cs="Times New Roman"/>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PURPOSE OF POLICY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852D64" w:rsidP="006263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Regulation 9 of </w:t>
      </w:r>
      <w:r w:rsidR="003D16B0" w:rsidRPr="006D5470">
        <w:rPr>
          <w:rFonts w:ascii="Times New Roman" w:hAnsi="Times New Roman" w:cs="Times New Roman"/>
          <w:sz w:val="24"/>
          <w:szCs w:val="24"/>
        </w:rPr>
        <w:t xml:space="preserve"> Securities and Exchange Board of India, (Listing Obligations and Disclosure Requirements) Regulations, 2015</w:t>
      </w:r>
      <w:r>
        <w:rPr>
          <w:rFonts w:ascii="Times New Roman" w:hAnsi="Times New Roman" w:cs="Times New Roman"/>
          <w:sz w:val="24"/>
          <w:szCs w:val="24"/>
        </w:rPr>
        <w:t xml:space="preserve"> [herein after referred to as “SEBI (LODR) Regulations” or “Regulations”,</w:t>
      </w:r>
      <w:r w:rsidR="003D16B0" w:rsidRPr="006D5470">
        <w:rPr>
          <w:rFonts w:ascii="Times New Roman" w:hAnsi="Times New Roman" w:cs="Times New Roman"/>
          <w:sz w:val="24"/>
          <w:szCs w:val="24"/>
        </w:rPr>
        <w:t xml:space="preserve"> requires every listed company to have a policy on preservation of </w:t>
      </w:r>
      <w:r>
        <w:rPr>
          <w:rFonts w:ascii="Times New Roman" w:hAnsi="Times New Roman" w:cs="Times New Roman"/>
          <w:sz w:val="24"/>
          <w:szCs w:val="24"/>
        </w:rPr>
        <w:t xml:space="preserve">documents/ </w:t>
      </w:r>
      <w:r w:rsidR="003D16B0" w:rsidRPr="006D5470">
        <w:rPr>
          <w:rFonts w:ascii="Times New Roman" w:hAnsi="Times New Roman" w:cs="Times New Roman"/>
          <w:sz w:val="24"/>
          <w:szCs w:val="24"/>
        </w:rPr>
        <w:t>records</w:t>
      </w:r>
      <w:r>
        <w:rPr>
          <w:rFonts w:ascii="Times New Roman" w:hAnsi="Times New Roman" w:cs="Times New Roman"/>
          <w:sz w:val="24"/>
          <w:szCs w:val="24"/>
        </w:rPr>
        <w:t xml:space="preserve"> either in Physical Mode or Electronic Mode</w:t>
      </w:r>
      <w:r w:rsidR="003D16B0" w:rsidRPr="006D5470">
        <w:rPr>
          <w:rFonts w:ascii="Times New Roman" w:hAnsi="Times New Roman" w:cs="Times New Roman"/>
          <w:sz w:val="24"/>
          <w:szCs w:val="24"/>
        </w:rPr>
        <w:t>.</w:t>
      </w:r>
    </w:p>
    <w:p w:rsidR="003D16B0" w:rsidRPr="006D5470" w:rsidRDefault="003D16B0" w:rsidP="006263C8">
      <w:pPr>
        <w:pStyle w:val="ListParagraph"/>
        <w:spacing w:line="240" w:lineRule="auto"/>
        <w:ind w:left="0"/>
        <w:jc w:val="both"/>
        <w:rPr>
          <w:rFonts w:ascii="Times New Roman" w:hAnsi="Times New Roman" w:cs="Times New Roman"/>
          <w:sz w:val="24"/>
          <w:szCs w:val="24"/>
        </w:rPr>
      </w:pPr>
    </w:p>
    <w:p w:rsidR="003D16B0" w:rsidRPr="006D5470" w:rsidRDefault="003D16B0" w:rsidP="006263C8">
      <w:pPr>
        <w:pStyle w:val="ListParagraph"/>
        <w:spacing w:line="240" w:lineRule="auto"/>
        <w:ind w:left="0"/>
        <w:jc w:val="both"/>
        <w:rPr>
          <w:rFonts w:ascii="Times New Roman" w:hAnsi="Times New Roman" w:cs="Times New Roman"/>
          <w:sz w:val="24"/>
          <w:szCs w:val="24"/>
        </w:rPr>
      </w:pPr>
      <w:r w:rsidRPr="006D5470">
        <w:rPr>
          <w:rFonts w:ascii="Times New Roman" w:hAnsi="Times New Roman" w:cs="Times New Roman"/>
          <w:sz w:val="24"/>
          <w:szCs w:val="24"/>
        </w:rPr>
        <w:t xml:space="preserve">The corporate records of the Company are the important assets for the Company and hence the Company seeks to access and manage its records effectively, and is obliged to create, maintain, preserve and dispose of records as per this Policy. </w:t>
      </w:r>
    </w:p>
    <w:p w:rsidR="003D16B0" w:rsidRPr="006D5470" w:rsidRDefault="003D16B0" w:rsidP="006263C8">
      <w:pPr>
        <w:pStyle w:val="ListParagraph"/>
        <w:spacing w:line="240" w:lineRule="auto"/>
        <w:ind w:left="0"/>
        <w:jc w:val="both"/>
        <w:rPr>
          <w:rFonts w:ascii="Times New Roman" w:hAnsi="Times New Roman" w:cs="Times New Roman"/>
          <w:sz w:val="24"/>
          <w:szCs w:val="24"/>
        </w:rPr>
      </w:pPr>
    </w:p>
    <w:p w:rsidR="003D16B0" w:rsidRPr="006D5470" w:rsidRDefault="003D16B0" w:rsidP="006263C8">
      <w:pPr>
        <w:pStyle w:val="ListParagraph"/>
        <w:spacing w:line="240" w:lineRule="auto"/>
        <w:ind w:left="0"/>
        <w:jc w:val="both"/>
        <w:rPr>
          <w:rFonts w:ascii="Times New Roman" w:hAnsi="Times New Roman" w:cs="Times New Roman"/>
          <w:sz w:val="24"/>
          <w:szCs w:val="24"/>
        </w:rPr>
      </w:pPr>
      <w:r w:rsidRPr="006D5470">
        <w:rPr>
          <w:rFonts w:ascii="Times New Roman" w:hAnsi="Times New Roman" w:cs="Times New Roman"/>
          <w:sz w:val="24"/>
          <w:szCs w:val="24"/>
        </w:rPr>
        <w:t xml:space="preserve">This Policy categorizes the records that </w:t>
      </w:r>
      <w:r w:rsidR="00852D64">
        <w:rPr>
          <w:rFonts w:ascii="Times New Roman" w:hAnsi="Times New Roman" w:cs="Times New Roman"/>
          <w:sz w:val="24"/>
          <w:szCs w:val="24"/>
        </w:rPr>
        <w:t xml:space="preserve">whose preservation shall be permanent in nature and </w:t>
      </w:r>
      <w:proofErr w:type="gramStart"/>
      <w:r w:rsidR="00852D64">
        <w:rPr>
          <w:rFonts w:ascii="Times New Roman" w:hAnsi="Times New Roman" w:cs="Times New Roman"/>
          <w:sz w:val="24"/>
          <w:szCs w:val="24"/>
        </w:rPr>
        <w:t xml:space="preserve">documents </w:t>
      </w:r>
      <w:r w:rsidRPr="006D5470">
        <w:rPr>
          <w:rFonts w:ascii="Times New Roman" w:hAnsi="Times New Roman" w:cs="Times New Roman"/>
          <w:sz w:val="24"/>
          <w:szCs w:val="24"/>
        </w:rPr>
        <w:t xml:space="preserve"> that</w:t>
      </w:r>
      <w:proofErr w:type="gramEnd"/>
      <w:r w:rsidRPr="006D5470">
        <w:rPr>
          <w:rFonts w:ascii="Times New Roman" w:hAnsi="Times New Roman" w:cs="Times New Roman"/>
          <w:sz w:val="24"/>
          <w:szCs w:val="24"/>
        </w:rPr>
        <w:t xml:space="preserve"> will be preserved for specified period of time and outlines responsibilities to create, maintain and lawfully dispose of the records. It endorses the preservation of records in the Company’s Archives. </w:t>
      </w:r>
    </w:p>
    <w:p w:rsidR="003D16B0" w:rsidRPr="006D5470" w:rsidRDefault="003D16B0" w:rsidP="006263C8">
      <w:pPr>
        <w:pStyle w:val="ListParagraph"/>
        <w:spacing w:line="240" w:lineRule="auto"/>
        <w:jc w:val="both"/>
        <w:rPr>
          <w:rFonts w:ascii="Times New Roman" w:hAnsi="Times New Roman" w:cs="Times New Roman"/>
          <w:b/>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DEFINITIONS</w:t>
      </w:r>
    </w:p>
    <w:p w:rsidR="003D16B0" w:rsidRPr="006D5470" w:rsidRDefault="003D16B0" w:rsidP="006263C8">
      <w:pPr>
        <w:pStyle w:val="ListParagraph"/>
        <w:spacing w:after="0" w:line="240" w:lineRule="auto"/>
        <w:jc w:val="both"/>
        <w:rPr>
          <w:rFonts w:ascii="Times New Roman" w:hAnsi="Times New Roman" w:cs="Times New Roman"/>
          <w:b/>
          <w:sz w:val="24"/>
          <w:szCs w:val="24"/>
        </w:rPr>
      </w:pPr>
    </w:p>
    <w:p w:rsidR="003D16B0" w:rsidRPr="006D5470" w:rsidRDefault="003D16B0" w:rsidP="006263C8">
      <w:pPr>
        <w:pStyle w:val="ListParagraph"/>
        <w:numPr>
          <w:ilvl w:val="0"/>
          <w:numId w:val="22"/>
        </w:numPr>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 xml:space="preserve">“Company” </w:t>
      </w:r>
      <w:r w:rsidRPr="006D5470">
        <w:rPr>
          <w:rFonts w:ascii="Times New Roman" w:hAnsi="Times New Roman" w:cs="Times New Roman"/>
          <w:sz w:val="24"/>
          <w:szCs w:val="24"/>
        </w:rPr>
        <w:t>means</w:t>
      </w:r>
      <w:r w:rsidR="002E5999" w:rsidRPr="006D5470">
        <w:rPr>
          <w:rFonts w:ascii="Times New Roman" w:hAnsi="Times New Roman" w:cs="Times New Roman"/>
          <w:sz w:val="24"/>
          <w:szCs w:val="24"/>
        </w:rPr>
        <w:t xml:space="preserve"> PTC India Limited </w:t>
      </w:r>
    </w:p>
    <w:p w:rsidR="003D16B0" w:rsidRPr="006D5470" w:rsidRDefault="003D16B0" w:rsidP="006263C8">
      <w:pPr>
        <w:pStyle w:val="ListParagraph"/>
        <w:spacing w:after="0" w:line="240" w:lineRule="auto"/>
        <w:jc w:val="both"/>
        <w:rPr>
          <w:rFonts w:ascii="Times New Roman" w:hAnsi="Times New Roman" w:cs="Times New Roman"/>
          <w:sz w:val="24"/>
          <w:szCs w:val="24"/>
        </w:rPr>
      </w:pPr>
    </w:p>
    <w:p w:rsidR="003D16B0" w:rsidRDefault="003D16B0" w:rsidP="006263C8">
      <w:pPr>
        <w:pStyle w:val="ListParagraph"/>
        <w:numPr>
          <w:ilvl w:val="0"/>
          <w:numId w:val="22"/>
        </w:numPr>
        <w:spacing w:after="0" w:line="240" w:lineRule="auto"/>
        <w:jc w:val="both"/>
        <w:rPr>
          <w:rFonts w:ascii="Times New Roman" w:hAnsi="Times New Roman" w:cs="Times New Roman"/>
          <w:sz w:val="24"/>
          <w:szCs w:val="24"/>
        </w:rPr>
      </w:pPr>
      <w:r w:rsidRPr="006D5470">
        <w:rPr>
          <w:rFonts w:ascii="Times New Roman" w:hAnsi="Times New Roman" w:cs="Times New Roman"/>
          <w:b/>
          <w:sz w:val="24"/>
          <w:szCs w:val="24"/>
        </w:rPr>
        <w:t xml:space="preserve">“Board” </w:t>
      </w:r>
      <w:r w:rsidRPr="006D5470">
        <w:rPr>
          <w:rFonts w:ascii="Times New Roman" w:hAnsi="Times New Roman" w:cs="Times New Roman"/>
          <w:sz w:val="24"/>
          <w:szCs w:val="24"/>
        </w:rPr>
        <w:t xml:space="preserve">means the board of directors of </w:t>
      </w:r>
      <w:r w:rsidR="002E5999" w:rsidRPr="006D5470">
        <w:rPr>
          <w:rFonts w:ascii="Times New Roman" w:hAnsi="Times New Roman" w:cs="Times New Roman"/>
          <w:sz w:val="24"/>
          <w:szCs w:val="24"/>
        </w:rPr>
        <w:t>the Company</w:t>
      </w:r>
      <w:r w:rsidR="000A6B83">
        <w:rPr>
          <w:rFonts w:ascii="Times New Roman" w:hAnsi="Times New Roman" w:cs="Times New Roman"/>
          <w:sz w:val="24"/>
          <w:szCs w:val="24"/>
        </w:rPr>
        <w:t xml:space="preserve"> or its Committee</w:t>
      </w:r>
      <w:r w:rsidRPr="006D5470">
        <w:rPr>
          <w:rFonts w:ascii="Times New Roman" w:hAnsi="Times New Roman" w:cs="Times New Roman"/>
          <w:sz w:val="24"/>
          <w:szCs w:val="24"/>
        </w:rPr>
        <w:t>;</w:t>
      </w:r>
    </w:p>
    <w:p w:rsidR="000A6B83" w:rsidRDefault="000A6B83" w:rsidP="006263C8">
      <w:pPr>
        <w:pStyle w:val="ListParagraph"/>
        <w:numPr>
          <w:ilvl w:val="0"/>
          <w:numId w:val="22"/>
        </w:numPr>
        <w:spacing w:after="0" w:line="240" w:lineRule="auto"/>
        <w:jc w:val="both"/>
        <w:rPr>
          <w:rFonts w:ascii="Times New Roman" w:hAnsi="Times New Roman" w:cs="Times New Roman"/>
          <w:sz w:val="24"/>
          <w:szCs w:val="24"/>
        </w:rPr>
      </w:pPr>
      <w:r w:rsidRPr="006263C8">
        <w:rPr>
          <w:rFonts w:ascii="Times New Roman" w:hAnsi="Times New Roman" w:cs="Times New Roman"/>
          <w:b/>
          <w:sz w:val="24"/>
          <w:szCs w:val="24"/>
        </w:rPr>
        <w:t>“Documents”</w:t>
      </w:r>
      <w:r>
        <w:rPr>
          <w:rFonts w:ascii="Times New Roman" w:hAnsi="Times New Roman" w:cs="Times New Roman"/>
          <w:sz w:val="24"/>
          <w:szCs w:val="24"/>
        </w:rPr>
        <w:t xml:space="preserve"> means</w:t>
      </w:r>
      <w:r w:rsidR="00947BD5">
        <w:rPr>
          <w:rFonts w:ascii="Times New Roman" w:hAnsi="Times New Roman" w:cs="Times New Roman"/>
          <w:sz w:val="24"/>
          <w:szCs w:val="24"/>
        </w:rPr>
        <w:t xml:space="preserve"> as defined in sub- section 36 of section 2 of the Companies Act, 2013</w:t>
      </w:r>
    </w:p>
    <w:p w:rsidR="000A6B83" w:rsidRDefault="000A6B83" w:rsidP="006263C8">
      <w:pPr>
        <w:pStyle w:val="ListParagraph"/>
        <w:numPr>
          <w:ilvl w:val="0"/>
          <w:numId w:val="22"/>
        </w:numPr>
        <w:spacing w:after="0" w:line="240" w:lineRule="auto"/>
        <w:jc w:val="both"/>
        <w:rPr>
          <w:rFonts w:ascii="Times New Roman" w:hAnsi="Times New Roman" w:cs="Times New Roman"/>
          <w:sz w:val="24"/>
          <w:szCs w:val="24"/>
        </w:rPr>
      </w:pPr>
      <w:r w:rsidRPr="006263C8">
        <w:rPr>
          <w:rFonts w:ascii="Times New Roman" w:hAnsi="Times New Roman" w:cs="Times New Roman"/>
          <w:b/>
          <w:sz w:val="24"/>
          <w:szCs w:val="24"/>
        </w:rPr>
        <w:t>“Electronic Records</w:t>
      </w:r>
      <w:r w:rsidR="00F5624F" w:rsidRPr="006263C8">
        <w:rPr>
          <w:rFonts w:ascii="Times New Roman" w:hAnsi="Times New Roman" w:cs="Times New Roman"/>
          <w:b/>
          <w:sz w:val="24"/>
          <w:szCs w:val="24"/>
        </w:rPr>
        <w:t>"</w:t>
      </w:r>
      <w:r w:rsidR="00F5624F">
        <w:rPr>
          <w:rFonts w:ascii="Times New Roman" w:hAnsi="Times New Roman" w:cs="Times New Roman"/>
          <w:sz w:val="24"/>
          <w:szCs w:val="24"/>
        </w:rPr>
        <w:t xml:space="preserve"> means as defined in Information Technology Act, 2000 or as amended from time </w:t>
      </w:r>
    </w:p>
    <w:p w:rsidR="00F5624F" w:rsidRDefault="000A6B83" w:rsidP="006263C8">
      <w:pPr>
        <w:pStyle w:val="ListParagraph"/>
        <w:numPr>
          <w:ilvl w:val="0"/>
          <w:numId w:val="22"/>
        </w:numPr>
        <w:spacing w:after="0" w:line="240" w:lineRule="auto"/>
        <w:jc w:val="both"/>
        <w:rPr>
          <w:rFonts w:ascii="Times New Roman" w:hAnsi="Times New Roman" w:cs="Times New Roman"/>
          <w:sz w:val="24"/>
          <w:szCs w:val="24"/>
        </w:rPr>
      </w:pPr>
      <w:r w:rsidRPr="006263C8">
        <w:rPr>
          <w:rFonts w:ascii="Times New Roman" w:hAnsi="Times New Roman" w:cs="Times New Roman"/>
          <w:b/>
          <w:sz w:val="24"/>
          <w:szCs w:val="24"/>
        </w:rPr>
        <w:t>“Electronic Form”</w:t>
      </w:r>
      <w:r>
        <w:rPr>
          <w:rFonts w:ascii="Times New Roman" w:hAnsi="Times New Roman" w:cs="Times New Roman"/>
          <w:sz w:val="24"/>
          <w:szCs w:val="24"/>
        </w:rPr>
        <w:t xml:space="preserve"> means</w:t>
      </w:r>
      <w:r w:rsidR="00F5624F" w:rsidRPr="00F5624F">
        <w:rPr>
          <w:rFonts w:ascii="Times New Roman" w:hAnsi="Times New Roman" w:cs="Times New Roman"/>
          <w:sz w:val="24"/>
          <w:szCs w:val="24"/>
        </w:rPr>
        <w:t xml:space="preserve"> </w:t>
      </w:r>
      <w:r w:rsidR="00F5624F">
        <w:rPr>
          <w:rFonts w:ascii="Times New Roman" w:hAnsi="Times New Roman" w:cs="Times New Roman"/>
          <w:sz w:val="24"/>
          <w:szCs w:val="24"/>
        </w:rPr>
        <w:t xml:space="preserve">as defined in Information Technology Act, 2000 or as amended from time </w:t>
      </w:r>
    </w:p>
    <w:p w:rsidR="003D16B0" w:rsidRPr="006D5470" w:rsidRDefault="003D16B0" w:rsidP="006263C8">
      <w:pPr>
        <w:pStyle w:val="ListParagraph"/>
        <w:numPr>
          <w:ilvl w:val="0"/>
          <w:numId w:val="22"/>
        </w:numPr>
        <w:spacing w:after="0" w:line="240" w:lineRule="auto"/>
        <w:jc w:val="both"/>
        <w:rPr>
          <w:rFonts w:ascii="Times New Roman" w:hAnsi="Times New Roman" w:cs="Times New Roman"/>
          <w:sz w:val="24"/>
          <w:szCs w:val="24"/>
        </w:rPr>
      </w:pPr>
      <w:r w:rsidRPr="006D5470">
        <w:rPr>
          <w:rFonts w:ascii="Times New Roman" w:hAnsi="Times New Roman" w:cs="Times New Roman"/>
          <w:b/>
          <w:sz w:val="24"/>
          <w:szCs w:val="24"/>
        </w:rPr>
        <w:t xml:space="preserve">“Listing Regulations” </w:t>
      </w:r>
      <w:r w:rsidRPr="006D5470">
        <w:rPr>
          <w:rFonts w:ascii="Times New Roman" w:hAnsi="Times New Roman" w:cs="Times New Roman"/>
          <w:sz w:val="24"/>
          <w:szCs w:val="24"/>
        </w:rPr>
        <w:t>means the Securities and Exchange Board of India, (Listing Obligations and Disclosure Requirements) Regulations, 2015</w:t>
      </w:r>
    </w:p>
    <w:p w:rsidR="003D16B0" w:rsidRPr="006D5470" w:rsidRDefault="00852D64" w:rsidP="006263C8">
      <w:pPr>
        <w:pStyle w:val="ListParagraph"/>
        <w:spacing w:after="0" w:line="240" w:lineRule="auto"/>
        <w:jc w:val="both"/>
        <w:rPr>
          <w:rFonts w:ascii="Times New Roman" w:hAnsi="Times New Roman" w:cs="Times New Roman"/>
          <w:sz w:val="24"/>
          <w:szCs w:val="24"/>
        </w:rPr>
      </w:pPr>
      <w:r w:rsidRPr="00852D64">
        <w:rPr>
          <w:rFonts w:ascii="Times New Roman" w:hAnsi="Times New Roman" w:cs="Times New Roman"/>
          <w:sz w:val="24"/>
          <w:szCs w:val="24"/>
        </w:rPr>
        <w:t>“Preservation” means to keep in good order and to prevent from being</w:t>
      </w:r>
      <w:r>
        <w:rPr>
          <w:rFonts w:ascii="Times New Roman" w:hAnsi="Times New Roman" w:cs="Times New Roman"/>
          <w:sz w:val="24"/>
          <w:szCs w:val="24"/>
        </w:rPr>
        <w:t xml:space="preserve"> </w:t>
      </w:r>
      <w:r w:rsidRPr="00852D64">
        <w:rPr>
          <w:rFonts w:ascii="Times New Roman" w:hAnsi="Times New Roman" w:cs="Times New Roman"/>
          <w:sz w:val="24"/>
          <w:szCs w:val="24"/>
        </w:rPr>
        <w:t>altered, damaged or destroyed</w:t>
      </w:r>
    </w:p>
    <w:p w:rsidR="003D16B0" w:rsidRPr="006D5470" w:rsidRDefault="003D16B0" w:rsidP="006263C8">
      <w:pPr>
        <w:pStyle w:val="ListParagraph"/>
        <w:numPr>
          <w:ilvl w:val="0"/>
          <w:numId w:val="22"/>
        </w:numPr>
        <w:shd w:val="clear" w:color="auto" w:fill="FFFFFF"/>
        <w:spacing w:after="0" w:line="240" w:lineRule="auto"/>
        <w:jc w:val="both"/>
        <w:textAlignment w:val="baseline"/>
        <w:rPr>
          <w:rFonts w:ascii="Times New Roman" w:hAnsi="Times New Roman" w:cs="Times New Roman"/>
          <w:b/>
          <w:sz w:val="24"/>
          <w:szCs w:val="24"/>
        </w:rPr>
      </w:pPr>
      <w:r w:rsidRPr="006D5470">
        <w:rPr>
          <w:rFonts w:ascii="Times New Roman" w:hAnsi="Times New Roman" w:cs="Times New Roman"/>
          <w:b/>
          <w:sz w:val="24"/>
          <w:szCs w:val="24"/>
        </w:rPr>
        <w:t>“Policy”</w:t>
      </w:r>
      <w:r w:rsidRPr="006D5470">
        <w:rPr>
          <w:rFonts w:ascii="Times New Roman" w:hAnsi="Times New Roman" w:cs="Times New Roman"/>
          <w:sz w:val="24"/>
          <w:szCs w:val="24"/>
        </w:rPr>
        <w:t xml:space="preserve"> means this Policy of Preservation of Documents</w:t>
      </w:r>
      <w:r w:rsidR="000A6B83">
        <w:rPr>
          <w:rFonts w:ascii="Times New Roman" w:hAnsi="Times New Roman" w:cs="Times New Roman"/>
          <w:sz w:val="24"/>
          <w:szCs w:val="24"/>
        </w:rPr>
        <w:t xml:space="preserve"> </w:t>
      </w:r>
      <w:r w:rsidRPr="006D5470">
        <w:rPr>
          <w:rFonts w:ascii="Times New Roman" w:hAnsi="Times New Roman" w:cs="Times New Roman"/>
          <w:sz w:val="24"/>
          <w:szCs w:val="24"/>
        </w:rPr>
        <w:t xml:space="preserve">of </w:t>
      </w:r>
      <w:r w:rsidR="002E5999" w:rsidRPr="006D5470">
        <w:rPr>
          <w:rFonts w:ascii="Times New Roman" w:hAnsi="Times New Roman" w:cs="Times New Roman"/>
          <w:sz w:val="24"/>
          <w:szCs w:val="24"/>
        </w:rPr>
        <w:t>the Company</w:t>
      </w:r>
      <w:r w:rsidRPr="006D5470">
        <w:rPr>
          <w:rFonts w:ascii="Times New Roman" w:hAnsi="Times New Roman" w:cs="Times New Roman"/>
          <w:sz w:val="24"/>
          <w:szCs w:val="24"/>
        </w:rPr>
        <w:t>;</w:t>
      </w:r>
    </w:p>
    <w:p w:rsidR="003D16B0" w:rsidRPr="006D5470" w:rsidRDefault="003D16B0" w:rsidP="006263C8">
      <w:pPr>
        <w:pStyle w:val="ListParagraph"/>
        <w:numPr>
          <w:ilvl w:val="0"/>
          <w:numId w:val="22"/>
        </w:numPr>
        <w:shd w:val="clear" w:color="auto" w:fill="FFFFFF"/>
        <w:spacing w:after="0" w:line="240" w:lineRule="auto"/>
        <w:jc w:val="both"/>
        <w:textAlignment w:val="baseline"/>
        <w:rPr>
          <w:rFonts w:ascii="Times New Roman" w:hAnsi="Times New Roman" w:cs="Times New Roman"/>
          <w:b/>
          <w:sz w:val="24"/>
          <w:szCs w:val="24"/>
        </w:rPr>
      </w:pPr>
      <w:r w:rsidRPr="006D5470">
        <w:rPr>
          <w:rFonts w:ascii="Times New Roman" w:hAnsi="Times New Roman" w:cs="Times New Roman"/>
          <w:b/>
          <w:sz w:val="24"/>
          <w:szCs w:val="24"/>
        </w:rPr>
        <w:t xml:space="preserve">“Records” </w:t>
      </w:r>
      <w:r w:rsidRPr="006D5470">
        <w:rPr>
          <w:rFonts w:ascii="Times New Roman" w:hAnsi="Times New Roman" w:cs="Times New Roman"/>
          <w:sz w:val="24"/>
          <w:szCs w:val="24"/>
        </w:rPr>
        <w:t>in relation to this policy includes accounting records, books or papers and books and papers as defined in sub-section 12 of section 2, books of accounts as defined in sub-section 13 of section 2 of the Companies Act, 2013, statutory and other documents of material significance whether covered under this Policy or not.</w:t>
      </w:r>
    </w:p>
    <w:p w:rsidR="003D16B0" w:rsidRPr="006D5470" w:rsidRDefault="003D16B0" w:rsidP="006263C8">
      <w:pPr>
        <w:pStyle w:val="ListParagraph"/>
        <w:shd w:val="clear" w:color="auto" w:fill="FFFFFF"/>
        <w:spacing w:after="0" w:line="240" w:lineRule="auto"/>
        <w:jc w:val="both"/>
        <w:textAlignment w:val="baseline"/>
        <w:rPr>
          <w:rFonts w:ascii="Times New Roman" w:hAnsi="Times New Roman" w:cs="Times New Roman"/>
          <w:sz w:val="24"/>
          <w:szCs w:val="24"/>
        </w:rPr>
      </w:pPr>
    </w:p>
    <w:p w:rsidR="003D16B0" w:rsidRPr="006D5470" w:rsidRDefault="003D16B0" w:rsidP="006263C8">
      <w:pPr>
        <w:pStyle w:val="ListParagraph"/>
        <w:shd w:val="clear" w:color="auto" w:fill="FFFFFF"/>
        <w:spacing w:after="0" w:line="240" w:lineRule="auto"/>
        <w:ind w:left="0"/>
        <w:jc w:val="both"/>
        <w:textAlignment w:val="baseline"/>
        <w:rPr>
          <w:rFonts w:ascii="Times New Roman" w:hAnsi="Times New Roman" w:cs="Times New Roman"/>
          <w:sz w:val="24"/>
          <w:szCs w:val="24"/>
        </w:rPr>
      </w:pPr>
      <w:r w:rsidRPr="006D5470">
        <w:rPr>
          <w:rFonts w:ascii="Times New Roman" w:hAnsi="Times New Roman" w:cs="Times New Roman"/>
          <w:sz w:val="24"/>
          <w:szCs w:val="24"/>
        </w:rPr>
        <w:t>Any other term not defined herein shall have the same meaning as ascribed to it under the Companies Act, 2013, Listing Agreement, Listing Regulations framed by the Securities Exchange Board of India or any other relevant regulation/legislation applicable to the Company.</w:t>
      </w:r>
    </w:p>
    <w:p w:rsidR="003D16B0" w:rsidRPr="006D5470" w:rsidRDefault="003D16B0" w:rsidP="006263C8">
      <w:pPr>
        <w:pStyle w:val="ListParagraph"/>
        <w:spacing w:line="240" w:lineRule="auto"/>
        <w:jc w:val="both"/>
        <w:rPr>
          <w:rFonts w:ascii="Times New Roman" w:hAnsi="Times New Roman" w:cs="Times New Roman"/>
          <w:b/>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OBJECTIVE OF POLICY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This Policy mechanism provides the comprehensive framework for preservation of documents for a specified period of time to achieve the following objectives:</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numPr>
          <w:ilvl w:val="0"/>
          <w:numId w:val="12"/>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Effective corporate governance and risk management; </w:t>
      </w:r>
    </w:p>
    <w:p w:rsidR="003D16B0" w:rsidRPr="006D5470" w:rsidRDefault="003D16B0" w:rsidP="006263C8">
      <w:pPr>
        <w:numPr>
          <w:ilvl w:val="0"/>
          <w:numId w:val="12"/>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Effective information management to support the work of the administrations and provision of continued access to it at times when needed;</w:t>
      </w:r>
    </w:p>
    <w:p w:rsidR="003D16B0" w:rsidRPr="006D5470" w:rsidRDefault="003D16B0" w:rsidP="006263C8">
      <w:pPr>
        <w:numPr>
          <w:ilvl w:val="0"/>
          <w:numId w:val="12"/>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lastRenderedPageBreak/>
        <w:t>Systematic disposal/destruction of Company’s non-current records that have outlived their administrative usefulness.</w:t>
      </w:r>
    </w:p>
    <w:p w:rsidR="003D16B0" w:rsidRPr="006D5470" w:rsidRDefault="003D16B0" w:rsidP="006263C8">
      <w:pPr>
        <w:numPr>
          <w:ilvl w:val="0"/>
          <w:numId w:val="12"/>
        </w:num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Identification of the Company’s records that are of continuing administrative and historical value to warrant their transfer to and preservation in the Company’s Archives.</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VALUE OF RECORDS</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Company understands the value of its records. Thus attached to this Policy are the combinations of qualities that relate to their importance, usefulness or quality. The following values are offered by the records:</w:t>
      </w:r>
    </w:p>
    <w:p w:rsidR="003D16B0" w:rsidRPr="006D5470" w:rsidRDefault="003D16B0" w:rsidP="006263C8">
      <w:pPr>
        <w:spacing w:after="0" w:line="240" w:lineRule="auto"/>
        <w:jc w:val="both"/>
        <w:rPr>
          <w:rFonts w:ascii="Times New Roman" w:hAnsi="Times New Roman" w:cs="Times New Roman"/>
          <w:color w:val="000000"/>
          <w:sz w:val="24"/>
          <w:szCs w:val="24"/>
        </w:rPr>
      </w:pPr>
    </w:p>
    <w:p w:rsidR="003D16B0" w:rsidRPr="006D5470" w:rsidRDefault="003D16B0" w:rsidP="006263C8">
      <w:pPr>
        <w:pStyle w:val="ListParagraph"/>
        <w:numPr>
          <w:ilvl w:val="0"/>
          <w:numId w:val="14"/>
        </w:numPr>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informational value – all information presented, whether written, pictorial or audio </w:t>
      </w:r>
    </w:p>
    <w:p w:rsidR="003D16B0" w:rsidRPr="006D5470" w:rsidRDefault="003D16B0" w:rsidP="006263C8">
      <w:pPr>
        <w:pStyle w:val="ListParagraph"/>
        <w:numPr>
          <w:ilvl w:val="0"/>
          <w:numId w:val="14"/>
        </w:numPr>
        <w:spacing w:after="0" w:line="240" w:lineRule="auto"/>
        <w:jc w:val="both"/>
        <w:rPr>
          <w:rFonts w:ascii="Times New Roman" w:hAnsi="Times New Roman" w:cs="Times New Roman"/>
          <w:color w:val="000000"/>
          <w:sz w:val="24"/>
          <w:szCs w:val="24"/>
        </w:rPr>
      </w:pPr>
      <w:r w:rsidRPr="006D5470">
        <w:rPr>
          <w:rFonts w:ascii="Times New Roman" w:hAnsi="Times New Roman" w:cs="Times New Roman"/>
          <w:color w:val="000000"/>
          <w:sz w:val="24"/>
          <w:szCs w:val="24"/>
        </w:rPr>
        <w:t xml:space="preserve">material value – intrinsic information about the records that can be retrieved from the material itself, such as age, provenance, history, software </w:t>
      </w:r>
    </w:p>
    <w:p w:rsidR="003D16B0" w:rsidRPr="006D5470" w:rsidRDefault="003D16B0" w:rsidP="006263C8">
      <w:pPr>
        <w:pStyle w:val="ListParagraph"/>
        <w:numPr>
          <w:ilvl w:val="0"/>
          <w:numId w:val="14"/>
        </w:numPr>
        <w:spacing w:after="0" w:line="240" w:lineRule="auto"/>
        <w:jc w:val="both"/>
        <w:rPr>
          <w:rFonts w:ascii="Times New Roman" w:hAnsi="Times New Roman" w:cs="Times New Roman"/>
          <w:color w:val="000000"/>
          <w:sz w:val="24"/>
          <w:szCs w:val="24"/>
        </w:rPr>
      </w:pPr>
      <w:proofErr w:type="gramStart"/>
      <w:r w:rsidRPr="006D5470">
        <w:rPr>
          <w:rFonts w:ascii="Times New Roman" w:hAnsi="Times New Roman" w:cs="Times New Roman"/>
          <w:color w:val="000000"/>
          <w:sz w:val="24"/>
          <w:szCs w:val="24"/>
        </w:rPr>
        <w:t>cultural</w:t>
      </w:r>
      <w:proofErr w:type="gramEnd"/>
      <w:r w:rsidRPr="006D5470">
        <w:rPr>
          <w:rFonts w:ascii="Times New Roman" w:hAnsi="Times New Roman" w:cs="Times New Roman"/>
          <w:color w:val="000000"/>
          <w:sz w:val="24"/>
          <w:szCs w:val="24"/>
        </w:rPr>
        <w:t xml:space="preserve"> value – encompasses a range of values such as political, religious, historical, ethical, aesthetic, and many other similar values. </w:t>
      </w:r>
    </w:p>
    <w:p w:rsidR="003D16B0" w:rsidRPr="006D5470" w:rsidRDefault="003D16B0" w:rsidP="006263C8">
      <w:pPr>
        <w:pStyle w:val="ListParagraph"/>
        <w:spacing w:after="0" w:line="240" w:lineRule="auto"/>
        <w:jc w:val="both"/>
        <w:rPr>
          <w:rFonts w:ascii="Times New Roman" w:hAnsi="Times New Roman" w:cs="Times New Roman"/>
          <w:color w:val="000000"/>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color w:val="000000"/>
          <w:sz w:val="24"/>
          <w:szCs w:val="24"/>
        </w:rPr>
        <w:t>As per this Policy, the Company shall preserve the qualities of all records as far as possible.</w:t>
      </w:r>
    </w:p>
    <w:p w:rsidR="003D16B0" w:rsidRPr="006D5470" w:rsidRDefault="003D16B0" w:rsidP="006263C8">
      <w:pPr>
        <w:spacing w:after="0" w:line="240" w:lineRule="auto"/>
        <w:ind w:left="720"/>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SCOPE OF THE POLICY</w:t>
      </w:r>
    </w:p>
    <w:p w:rsidR="003D16B0" w:rsidRPr="006D5470" w:rsidRDefault="003D16B0" w:rsidP="006263C8">
      <w:pPr>
        <w:spacing w:after="0" w:line="240" w:lineRule="auto"/>
        <w:ind w:left="720"/>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For the purpose of achieving the above objectives, the documents covered as per this Policy have been divided into two sections, i.e. the records or the documents that will be preserved permanently by the Company and the records or the documents that will be preserved for the period of </w:t>
      </w:r>
      <w:proofErr w:type="spellStart"/>
      <w:r w:rsidRPr="006D5470">
        <w:rPr>
          <w:rFonts w:ascii="Times New Roman" w:hAnsi="Times New Roman" w:cs="Times New Roman"/>
          <w:sz w:val="24"/>
          <w:szCs w:val="24"/>
        </w:rPr>
        <w:t>atleast</w:t>
      </w:r>
      <w:proofErr w:type="spellEnd"/>
      <w:r w:rsidRPr="006D5470">
        <w:rPr>
          <w:rFonts w:ascii="Times New Roman" w:hAnsi="Times New Roman" w:cs="Times New Roman"/>
          <w:sz w:val="24"/>
          <w:szCs w:val="24"/>
        </w:rPr>
        <w:t xml:space="preserve"> 8 years and not permanently.  This Policy applies to the records maintained by the Company in any format or medium. The records which are not required to be retained permanently shall be disposed </w:t>
      </w:r>
      <w:proofErr w:type="spellStart"/>
      <w:r w:rsidRPr="006D5470">
        <w:rPr>
          <w:rFonts w:ascii="Times New Roman" w:hAnsi="Times New Roman" w:cs="Times New Roman"/>
          <w:sz w:val="24"/>
          <w:szCs w:val="24"/>
        </w:rPr>
        <w:t>off</w:t>
      </w:r>
      <w:proofErr w:type="spellEnd"/>
      <w:r w:rsidRPr="006D5470">
        <w:rPr>
          <w:rFonts w:ascii="Times New Roman" w:hAnsi="Times New Roman" w:cs="Times New Roman"/>
          <w:sz w:val="24"/>
          <w:szCs w:val="24"/>
        </w:rPr>
        <w:t xml:space="preserve"> according to this Policy.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AUTHORITY AND RESPONSIBILITY</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Compliance Officer, as designated by the Board of the Company in this behalf, shall be responsible for the preservation of the records according to the time frame prescribed in the Policy for their preservation.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All staff and management of the Company shall assist in implementing this Preservation Policy as appropriate to their roles and responsibilities. </w:t>
      </w:r>
    </w:p>
    <w:p w:rsidR="003D16B0" w:rsidRDefault="003D16B0" w:rsidP="006263C8">
      <w:pPr>
        <w:tabs>
          <w:tab w:val="left" w:pos="450"/>
        </w:tabs>
        <w:spacing w:after="0" w:line="240" w:lineRule="auto"/>
        <w:jc w:val="both"/>
        <w:rPr>
          <w:rFonts w:ascii="Times New Roman" w:hAnsi="Times New Roman" w:cs="Times New Roman"/>
          <w:b/>
          <w:sz w:val="24"/>
          <w:szCs w:val="24"/>
        </w:rPr>
      </w:pPr>
    </w:p>
    <w:p w:rsidR="006263C8" w:rsidRPr="006D5470" w:rsidRDefault="006263C8" w:rsidP="006263C8">
      <w:pPr>
        <w:tabs>
          <w:tab w:val="left" w:pos="450"/>
        </w:tabs>
        <w:spacing w:after="0" w:line="240" w:lineRule="auto"/>
        <w:jc w:val="both"/>
        <w:rPr>
          <w:rFonts w:ascii="Times New Roman" w:hAnsi="Times New Roman" w:cs="Times New Roman"/>
          <w:b/>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CLASSIFICATION OF RECORDS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Based on the requirement and for the purpose of effective management, the period for which the records of the Company shall be maintained have been classified into two categories: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pStyle w:val="ListParagraph"/>
        <w:numPr>
          <w:ilvl w:val="0"/>
          <w:numId w:val="13"/>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Documents whose preservation shall be permanent in nature;</w:t>
      </w:r>
    </w:p>
    <w:p w:rsidR="003D16B0" w:rsidRPr="006D5470" w:rsidRDefault="003D16B0" w:rsidP="006263C8">
      <w:pPr>
        <w:pStyle w:val="ListParagraph"/>
        <w:numPr>
          <w:ilvl w:val="0"/>
          <w:numId w:val="13"/>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Documents whose preservation shall be at least 8 years.</w:t>
      </w:r>
    </w:p>
    <w:p w:rsidR="003D16B0" w:rsidRPr="006D5470" w:rsidRDefault="003D16B0" w:rsidP="006263C8">
      <w:pPr>
        <w:pStyle w:val="ListParagraph"/>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classification of the documents has been made in the Annexure which forms part of this Policy.</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While prescribing different time period for preservation of records, the following aspects have been taken into account:</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(a)</w:t>
      </w:r>
      <w:r w:rsidRPr="006D5470">
        <w:rPr>
          <w:rFonts w:ascii="Times New Roman" w:hAnsi="Times New Roman" w:cs="Times New Roman"/>
          <w:sz w:val="24"/>
          <w:szCs w:val="24"/>
        </w:rPr>
        <w:tab/>
        <w:t>Compliance with statutory and regulatory requirements.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lastRenderedPageBreak/>
        <w:t>(b)</w:t>
      </w:r>
      <w:r w:rsidRPr="006D5470">
        <w:rPr>
          <w:rFonts w:ascii="Times New Roman" w:hAnsi="Times New Roman" w:cs="Times New Roman"/>
          <w:sz w:val="24"/>
          <w:szCs w:val="24"/>
        </w:rPr>
        <w:tab/>
        <w:t>Satisfaction of the needs of SEBI/RBI/MCA inspectors to have access to certain records.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(c)</w:t>
      </w:r>
      <w:r w:rsidRPr="006D5470">
        <w:rPr>
          <w:rFonts w:ascii="Times New Roman" w:hAnsi="Times New Roman" w:cs="Times New Roman"/>
          <w:sz w:val="24"/>
          <w:szCs w:val="24"/>
        </w:rPr>
        <w:tab/>
        <w:t>Satisfaction of the needs of internal and external auditors to have access to certain records.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documents or records not covered by this Policy shall be maintained by the Company for the time period specified for their preservation under any statute or regulation by which they are governed.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LOCATION OF RECORDS</w:t>
      </w:r>
    </w:p>
    <w:p w:rsidR="003D16B0" w:rsidRPr="006D5470" w:rsidRDefault="003D16B0" w:rsidP="006263C8">
      <w:pPr>
        <w:spacing w:line="240" w:lineRule="auto"/>
        <w:ind w:left="720"/>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As mandated by the Companies Act, 2013 or under any other statute, certain records shall be located at the registered office of the Company. The records for which no specific place has been specified under any statute shall be maintained at the corporate office of the Company or at any other place as may be approved by the Board, from time to time.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ACCESS AND AUTHENTICITY</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preservation of the records of the Company is vital in order to ensure all current and future access to the records. Preservation is also concerned with ensuring the authenticity of records.</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Compliance Offer shall prepare a matrix for identifying persons who will allowed to access different kind of records maintained &amp; preserved by the Company. Since the records are maintained at different levels and departments in the Company, therefore Functional Heads should be authorized to ensure the preservation and access to the Records under their jurisdiction.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RECORD RETENTION SCHEDULE</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records referred to in Annexure A of this Policy shall be maintained permanently and the records which are required to be preserved permanently on the website of the Company shall be preserved in line with the Website Archival Policy of the Company.</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Records should not be kept longer than is necessary and should be disposed of at the right time as unnecessary retention of records consumes time, space and equipment use, therefore disposal will aid efficiency. The records referred in Annexure B shall be preserved for at least 8 years and thereafter as per the discretion of the Board records may be disposed </w:t>
      </w:r>
      <w:proofErr w:type="spellStart"/>
      <w:r w:rsidRPr="006D5470">
        <w:rPr>
          <w:rFonts w:ascii="Times New Roman" w:hAnsi="Times New Roman" w:cs="Times New Roman"/>
          <w:sz w:val="24"/>
          <w:szCs w:val="24"/>
        </w:rPr>
        <w:t>ofin</w:t>
      </w:r>
      <w:proofErr w:type="spellEnd"/>
      <w:r w:rsidRPr="006D5470">
        <w:rPr>
          <w:rFonts w:ascii="Times New Roman" w:hAnsi="Times New Roman" w:cs="Times New Roman"/>
          <w:sz w:val="24"/>
          <w:szCs w:val="24"/>
        </w:rPr>
        <w:t xml:space="preserve"> the manner prescribed by it.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Company shall maintain a register of preservation and disposal of records in the custody of the Compliance officer of the Company, wherein the brief particulars of the records preserved and/or removed from the location after the expiry of its preservation period shall be entered. The register of preservation and disposal of records shall contain the following columns:</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Item Number;</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Brief Particulars of the records preserved/ disposed of;</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Date of creation of the record;</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Date of removal from the register;</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Whether preserved permanently or not; and</w:t>
      </w:r>
    </w:p>
    <w:p w:rsidR="003D16B0" w:rsidRPr="006D5470" w:rsidRDefault="003D16B0" w:rsidP="006263C8">
      <w:pPr>
        <w:pStyle w:val="ListParagraph"/>
        <w:numPr>
          <w:ilvl w:val="0"/>
          <w:numId w:val="17"/>
        </w:num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Mode of destruction</w:t>
      </w:r>
    </w:p>
    <w:p w:rsidR="003D16B0" w:rsidRPr="006D5470" w:rsidRDefault="003D16B0" w:rsidP="006263C8">
      <w:pPr>
        <w:pStyle w:val="ListParagraph"/>
        <w:tabs>
          <w:tab w:val="left" w:pos="450"/>
        </w:tabs>
        <w:spacing w:after="0" w:line="240" w:lineRule="auto"/>
        <w:ind w:left="765"/>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This register of preservation and disposal of records shall be maintained permanently by the Company with the assistance of the Compliance Officer either in physical or electronic form.</w:t>
      </w:r>
    </w:p>
    <w:p w:rsidR="003D16B0" w:rsidRDefault="003D16B0" w:rsidP="006263C8">
      <w:pPr>
        <w:tabs>
          <w:tab w:val="left" w:pos="450"/>
        </w:tabs>
        <w:spacing w:after="0" w:line="240" w:lineRule="auto"/>
        <w:jc w:val="both"/>
        <w:rPr>
          <w:rFonts w:ascii="Times New Roman" w:hAnsi="Times New Roman" w:cs="Times New Roman"/>
          <w:sz w:val="24"/>
          <w:szCs w:val="24"/>
        </w:rPr>
      </w:pPr>
    </w:p>
    <w:p w:rsidR="004809DB" w:rsidRDefault="004809DB" w:rsidP="006263C8">
      <w:pPr>
        <w:tabs>
          <w:tab w:val="left" w:pos="450"/>
        </w:tabs>
        <w:spacing w:after="0" w:line="240" w:lineRule="auto"/>
        <w:jc w:val="both"/>
        <w:rPr>
          <w:rFonts w:ascii="Times New Roman" w:hAnsi="Times New Roman" w:cs="Times New Roman"/>
          <w:sz w:val="24"/>
          <w:szCs w:val="24"/>
        </w:rPr>
      </w:pPr>
    </w:p>
    <w:p w:rsidR="004809DB" w:rsidRPr="006D5470" w:rsidRDefault="004809DB"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lastRenderedPageBreak/>
        <w:t xml:space="preserve">RECORD APPRAISAL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Company shall at regular intervals carry out the appraisal of the records preserved as per this Policy. The purpose of the appraisal process is to ensure the records are examined at the appropriate time to determine whether or not they are worthy of archival preservation, whether they need to be retained for a longer period as they are still in use, or whether they should be destroyed. The appraisal of records shall be undertaken only after the approval of the Board of the Company.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RISK-BASED APPROACH</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The Company adopts a risk-based approach in an endeavor to preserve the collection of its records. A preservation risk assessment for the whole collection shall be conducted and subsequently shall be reviewed periodically. The result of the risk assessment would be used to determine the urgency of preservation action: a low risk may simply indicate that the risk assessment should be recalculated at a future date, whereas a high risk will trigger immediate action. </w:t>
      </w:r>
    </w:p>
    <w:p w:rsidR="003D16B0" w:rsidRPr="006D5470" w:rsidRDefault="003D16B0" w:rsidP="006263C8">
      <w:pPr>
        <w:tabs>
          <w:tab w:val="left" w:pos="450"/>
        </w:tabs>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tabs>
          <w:tab w:val="left" w:pos="450"/>
        </w:tabs>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COMPLIANCE OFFICER:</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pacing w:after="0" w:line="240" w:lineRule="auto"/>
        <w:jc w:val="both"/>
        <w:rPr>
          <w:rFonts w:ascii="Times New Roman" w:hAnsi="Times New Roman" w:cs="Times New Roman"/>
          <w:sz w:val="24"/>
          <w:szCs w:val="24"/>
        </w:rPr>
      </w:pPr>
      <w:r w:rsidRPr="006D5470">
        <w:rPr>
          <w:rFonts w:ascii="Times New Roman" w:hAnsi="Times New Roman" w:cs="Times New Roman"/>
          <w:sz w:val="24"/>
          <w:szCs w:val="24"/>
        </w:rPr>
        <w:t>The Company Secretary of the Company shall be the Compliance Officer of the Company.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tabs>
          <w:tab w:val="left" w:pos="450"/>
        </w:tabs>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EFFECTIVE DATE AND POLICY ENFORCEMENT</w:t>
      </w:r>
    </w:p>
    <w:p w:rsidR="003D16B0" w:rsidRPr="006D5470" w:rsidRDefault="003D16B0" w:rsidP="006263C8">
      <w:pPr>
        <w:pStyle w:val="ListParagraph"/>
        <w:spacing w:after="0" w:line="240" w:lineRule="auto"/>
        <w:ind w:left="0"/>
        <w:jc w:val="both"/>
        <w:rPr>
          <w:rFonts w:ascii="Times New Roman" w:hAnsi="Times New Roman" w:cs="Times New Roman"/>
          <w:sz w:val="24"/>
          <w:szCs w:val="24"/>
        </w:rPr>
      </w:pPr>
    </w:p>
    <w:p w:rsidR="003D16B0" w:rsidRPr="006D5470" w:rsidRDefault="00C22A06" w:rsidP="006263C8">
      <w:pPr>
        <w:tabs>
          <w:tab w:val="left" w:pos="450"/>
        </w:tabs>
        <w:spacing w:after="0" w:line="240" w:lineRule="auto"/>
        <w:jc w:val="both"/>
        <w:rPr>
          <w:rFonts w:ascii="Times New Roman" w:hAnsi="Times New Roman" w:cs="Times New Roman"/>
          <w:sz w:val="24"/>
          <w:szCs w:val="24"/>
        </w:rPr>
      </w:pPr>
      <w:r w:rsidRPr="006D5470">
        <w:rPr>
          <w:rFonts w:ascii="Times New Roman" w:hAnsi="Times New Roman" w:cs="Times New Roman"/>
          <w:color w:val="000000"/>
          <w:sz w:val="24"/>
          <w:szCs w:val="24"/>
        </w:rPr>
        <w:t xml:space="preserve">The above said Policy is approved by Board in its meeting held on </w:t>
      </w:r>
      <w:r>
        <w:rPr>
          <w:rFonts w:ascii="Times New Roman" w:hAnsi="Times New Roman" w:cs="Times New Roman"/>
          <w:color w:val="000000"/>
          <w:sz w:val="24"/>
          <w:szCs w:val="24"/>
        </w:rPr>
        <w:t>5</w:t>
      </w:r>
      <w:r w:rsidRPr="00C22A06">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February 2016</w:t>
      </w:r>
      <w:r w:rsidRPr="006D5470">
        <w:rPr>
          <w:rFonts w:ascii="Times New Roman" w:hAnsi="Times New Roman" w:cs="Times New Roman"/>
          <w:color w:val="000000"/>
          <w:sz w:val="24"/>
          <w:szCs w:val="24"/>
        </w:rPr>
        <w:t xml:space="preserve"> and shall be effective from date of the approval.</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3D16B0" w:rsidP="006263C8">
      <w:pPr>
        <w:shd w:val="clear" w:color="auto" w:fill="BFBFBF"/>
        <w:tabs>
          <w:tab w:val="left" w:pos="450"/>
        </w:tabs>
        <w:spacing w:after="0" w:line="240" w:lineRule="auto"/>
        <w:jc w:val="both"/>
        <w:rPr>
          <w:rFonts w:ascii="Times New Roman" w:hAnsi="Times New Roman" w:cs="Times New Roman"/>
          <w:b/>
          <w:sz w:val="24"/>
          <w:szCs w:val="24"/>
        </w:rPr>
      </w:pPr>
      <w:r w:rsidRPr="006D5470">
        <w:rPr>
          <w:rFonts w:ascii="Times New Roman" w:hAnsi="Times New Roman" w:cs="Times New Roman"/>
          <w:b/>
          <w:sz w:val="24"/>
          <w:szCs w:val="24"/>
        </w:rPr>
        <w:t>REVIEW OF THE POLICY</w:t>
      </w:r>
    </w:p>
    <w:p w:rsidR="003D16B0" w:rsidRPr="006D5470" w:rsidRDefault="003D16B0" w:rsidP="006263C8">
      <w:pPr>
        <w:spacing w:after="0" w:line="240" w:lineRule="auto"/>
        <w:jc w:val="both"/>
        <w:rPr>
          <w:rFonts w:ascii="Times New Roman" w:hAnsi="Times New Roman" w:cs="Times New Roman"/>
          <w:sz w:val="24"/>
          <w:szCs w:val="24"/>
        </w:rPr>
      </w:pPr>
    </w:p>
    <w:p w:rsidR="003D16B0" w:rsidRPr="006D5470" w:rsidRDefault="00C97B6D" w:rsidP="006263C8">
      <w:pPr>
        <w:spacing w:line="240" w:lineRule="auto"/>
        <w:jc w:val="both"/>
        <w:rPr>
          <w:rFonts w:ascii="Times New Roman" w:hAnsi="Times New Roman" w:cs="Times New Roman"/>
          <w:sz w:val="24"/>
          <w:szCs w:val="24"/>
        </w:rPr>
      </w:pPr>
      <w:r w:rsidRPr="006D5470">
        <w:rPr>
          <w:rFonts w:ascii="Times New Roman" w:hAnsi="Times New Roman" w:cs="Times New Roman"/>
          <w:sz w:val="24"/>
          <w:szCs w:val="24"/>
        </w:rPr>
        <w:t xml:space="preserve">This Policy </w:t>
      </w:r>
      <w:r>
        <w:rPr>
          <w:rFonts w:ascii="Times New Roman" w:hAnsi="Times New Roman" w:cs="Times New Roman"/>
          <w:sz w:val="24"/>
          <w:szCs w:val="24"/>
        </w:rPr>
        <w:t>may be amended with the approval of CEO</w:t>
      </w:r>
      <w:r w:rsidRPr="006D5470">
        <w:rPr>
          <w:rFonts w:ascii="Times New Roman" w:hAnsi="Times New Roman" w:cs="Times New Roman"/>
          <w:sz w:val="24"/>
          <w:szCs w:val="24"/>
        </w:rPr>
        <w:t xml:space="preserve"> as may be deemed necessary and in accordance with any regulatory amendments.</w:t>
      </w:r>
    </w:p>
    <w:p w:rsidR="004809DB" w:rsidRPr="006D5470" w:rsidRDefault="004809DB" w:rsidP="004809DB">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lang w:val="en-IN"/>
        </w:rPr>
        <w:t xml:space="preserve">Should there be any inconsistency between the terms of the Policy and the Listing Regulations, the provisions of the Listing Regulations shall prevail. Any amendments to the Listing Regulations shall </w:t>
      </w:r>
      <w:r>
        <w:rPr>
          <w:rFonts w:ascii="Arial" w:hAnsi="Arial" w:cs="Arial"/>
          <w:i/>
          <w:iCs/>
          <w:lang w:val="en-IN"/>
        </w:rPr>
        <w:t xml:space="preserve">mutatis mutandis </w:t>
      </w:r>
      <w:r>
        <w:rPr>
          <w:rFonts w:ascii="Arial" w:hAnsi="Arial" w:cs="Arial"/>
          <w:lang w:val="en-IN"/>
        </w:rPr>
        <w:t>be deemed to have been incorporated in this Policy.</w:t>
      </w:r>
    </w:p>
    <w:p w:rsidR="003D16B0" w:rsidRDefault="003D16B0" w:rsidP="006263C8">
      <w:pPr>
        <w:spacing w:line="240" w:lineRule="auto"/>
        <w:jc w:val="both"/>
        <w:rPr>
          <w:rFonts w:ascii="Times New Roman" w:hAnsi="Times New Roman" w:cs="Times New Roman"/>
          <w:sz w:val="24"/>
          <w:szCs w:val="24"/>
        </w:rPr>
      </w:pPr>
    </w:p>
    <w:p w:rsidR="004809DB" w:rsidRDefault="004809DB" w:rsidP="006263C8">
      <w:pPr>
        <w:spacing w:line="240" w:lineRule="auto"/>
        <w:jc w:val="both"/>
        <w:rPr>
          <w:rFonts w:ascii="Times New Roman" w:hAnsi="Times New Roman" w:cs="Times New Roman"/>
          <w:sz w:val="24"/>
          <w:szCs w:val="24"/>
        </w:rPr>
      </w:pPr>
    </w:p>
    <w:p w:rsidR="004809DB" w:rsidRDefault="004809DB" w:rsidP="006263C8">
      <w:pPr>
        <w:spacing w:line="240" w:lineRule="auto"/>
        <w:jc w:val="both"/>
        <w:rPr>
          <w:rFonts w:ascii="Times New Roman" w:hAnsi="Times New Roman" w:cs="Times New Roman"/>
          <w:sz w:val="24"/>
          <w:szCs w:val="24"/>
        </w:rPr>
      </w:pPr>
    </w:p>
    <w:p w:rsidR="004809DB" w:rsidRDefault="004809DB" w:rsidP="006263C8">
      <w:pPr>
        <w:spacing w:line="240" w:lineRule="auto"/>
        <w:jc w:val="both"/>
        <w:rPr>
          <w:rFonts w:ascii="Times New Roman" w:hAnsi="Times New Roman" w:cs="Times New Roman"/>
          <w:sz w:val="24"/>
          <w:szCs w:val="24"/>
        </w:rPr>
      </w:pPr>
    </w:p>
    <w:p w:rsidR="004809DB" w:rsidRDefault="004809DB" w:rsidP="006263C8">
      <w:pPr>
        <w:spacing w:line="240" w:lineRule="auto"/>
        <w:jc w:val="both"/>
        <w:rPr>
          <w:rFonts w:ascii="Times New Roman" w:hAnsi="Times New Roman" w:cs="Times New Roman"/>
          <w:sz w:val="24"/>
          <w:szCs w:val="24"/>
        </w:rPr>
      </w:pPr>
    </w:p>
    <w:p w:rsidR="004809DB" w:rsidRDefault="004809DB" w:rsidP="006263C8">
      <w:pPr>
        <w:spacing w:line="240" w:lineRule="auto"/>
        <w:jc w:val="both"/>
        <w:rPr>
          <w:rFonts w:ascii="Times New Roman" w:hAnsi="Times New Roman" w:cs="Times New Roman"/>
          <w:sz w:val="24"/>
          <w:szCs w:val="24"/>
        </w:rPr>
      </w:pPr>
    </w:p>
    <w:p w:rsidR="004809DB" w:rsidRPr="006D5470" w:rsidRDefault="004809DB"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pStyle w:val="Heading7"/>
        <w:spacing w:line="240" w:lineRule="auto"/>
        <w:jc w:val="both"/>
        <w:rPr>
          <w:rFonts w:ascii="Times New Roman" w:hAnsi="Times New Roman" w:cs="Times New Roman"/>
          <w:sz w:val="24"/>
          <w:szCs w:val="24"/>
        </w:rPr>
      </w:pPr>
      <w:r w:rsidRPr="006D5470">
        <w:rPr>
          <w:rFonts w:ascii="Times New Roman" w:hAnsi="Times New Roman" w:cs="Times New Roman"/>
          <w:sz w:val="24"/>
          <w:szCs w:val="24"/>
        </w:rPr>
        <w:lastRenderedPageBreak/>
        <w:t>ANNEXURE – A</w:t>
      </w:r>
    </w:p>
    <w:p w:rsidR="00852D64" w:rsidRPr="006D5470" w:rsidRDefault="00852D64" w:rsidP="006263C8">
      <w:pPr>
        <w:spacing w:line="240" w:lineRule="auto"/>
        <w:jc w:val="both"/>
        <w:rPr>
          <w:rFonts w:ascii="Times New Roman" w:hAnsi="Times New Roman" w:cs="Times New Roman"/>
          <w:sz w:val="24"/>
          <w:szCs w:val="24"/>
        </w:rPr>
      </w:pPr>
      <w:r>
        <w:rPr>
          <w:rFonts w:ascii="Times New Roman" w:hAnsi="Times New Roman" w:cs="Times New Roman"/>
          <w:sz w:val="24"/>
          <w:szCs w:val="24"/>
        </w:rPr>
        <w:t>Indicative List</w:t>
      </w:r>
    </w:p>
    <w:p w:rsidR="003D16B0" w:rsidRPr="00A6350F" w:rsidRDefault="003D16B0" w:rsidP="006263C8">
      <w:pPr>
        <w:pStyle w:val="ListParagraph"/>
        <w:numPr>
          <w:ilvl w:val="0"/>
          <w:numId w:val="24"/>
        </w:numPr>
        <w:spacing w:after="0" w:line="240" w:lineRule="auto"/>
        <w:jc w:val="both"/>
        <w:rPr>
          <w:rFonts w:ascii="Times New Roman" w:hAnsi="Times New Roman" w:cs="Times New Roman"/>
          <w:sz w:val="24"/>
          <w:szCs w:val="24"/>
        </w:rPr>
      </w:pPr>
      <w:r w:rsidRPr="00A6350F">
        <w:rPr>
          <w:rFonts w:ascii="Times New Roman" w:hAnsi="Times New Roman" w:cs="Times New Roman"/>
          <w:sz w:val="24"/>
          <w:szCs w:val="24"/>
        </w:rPr>
        <w:t xml:space="preserve">Records to be preserved permanently </w:t>
      </w:r>
    </w:p>
    <w:tbl>
      <w:tblPr>
        <w:tblStyle w:val="TableGrid"/>
        <w:tblW w:w="0" w:type="auto"/>
        <w:tblInd w:w="720" w:type="dxa"/>
        <w:tblLook w:val="04A0" w:firstRow="1" w:lastRow="0" w:firstColumn="1" w:lastColumn="0" w:noHBand="0" w:noVBand="1"/>
      </w:tblPr>
      <w:tblGrid>
        <w:gridCol w:w="1008"/>
        <w:gridCol w:w="8756"/>
      </w:tblGrid>
      <w:tr w:rsidR="00852D64" w:rsidTr="00C97B6D">
        <w:tc>
          <w:tcPr>
            <w:tcW w:w="1008" w:type="dxa"/>
          </w:tcPr>
          <w:p w:rsidR="00852D64" w:rsidRDefault="00852D64" w:rsidP="006263C8">
            <w:pPr>
              <w:jc w:val="both"/>
              <w:rPr>
                <w:rFonts w:ascii="Times New Roman" w:hAnsi="Times New Roman" w:cs="Times New Roman"/>
                <w:sz w:val="24"/>
                <w:szCs w:val="24"/>
              </w:rPr>
            </w:pPr>
            <w:r>
              <w:rPr>
                <w:rFonts w:ascii="Times New Roman" w:hAnsi="Times New Roman" w:cs="Times New Roman"/>
                <w:sz w:val="24"/>
                <w:szCs w:val="24"/>
              </w:rPr>
              <w:t>Sl. No.</w:t>
            </w:r>
          </w:p>
        </w:tc>
        <w:tc>
          <w:tcPr>
            <w:tcW w:w="8756" w:type="dxa"/>
          </w:tcPr>
          <w:p w:rsidR="00852D64" w:rsidRDefault="00852D64" w:rsidP="006263C8">
            <w:pPr>
              <w:jc w:val="both"/>
              <w:rPr>
                <w:rFonts w:ascii="Times New Roman" w:hAnsi="Times New Roman" w:cs="Times New Roman"/>
                <w:sz w:val="24"/>
                <w:szCs w:val="24"/>
              </w:rPr>
            </w:pPr>
            <w:r>
              <w:rPr>
                <w:rFonts w:ascii="Times New Roman" w:hAnsi="Times New Roman" w:cs="Times New Roman"/>
                <w:sz w:val="24"/>
                <w:szCs w:val="24"/>
              </w:rPr>
              <w:t>Document/Record</w:t>
            </w:r>
          </w:p>
        </w:tc>
      </w:tr>
      <w:tr w:rsidR="00852D64" w:rsidTr="00C97B6D">
        <w:tc>
          <w:tcPr>
            <w:tcW w:w="1008" w:type="dxa"/>
          </w:tcPr>
          <w:p w:rsidR="00852D64" w:rsidRDefault="00852D64" w:rsidP="006263C8">
            <w:pPr>
              <w:jc w:val="both"/>
              <w:rPr>
                <w:rFonts w:ascii="Times New Roman" w:hAnsi="Times New Roman" w:cs="Times New Roman"/>
                <w:sz w:val="24"/>
                <w:szCs w:val="24"/>
              </w:rPr>
            </w:pPr>
          </w:p>
        </w:tc>
        <w:tc>
          <w:tcPr>
            <w:tcW w:w="8756" w:type="dxa"/>
          </w:tcPr>
          <w:p w:rsidR="00852D64" w:rsidRDefault="00852D64" w:rsidP="006263C8">
            <w:pPr>
              <w:jc w:val="both"/>
              <w:rPr>
                <w:rFonts w:ascii="Times New Roman" w:hAnsi="Times New Roman" w:cs="Times New Roman"/>
                <w:sz w:val="24"/>
                <w:szCs w:val="24"/>
              </w:rPr>
            </w:pPr>
            <w:r>
              <w:rPr>
                <w:rFonts w:ascii="Times New Roman" w:hAnsi="Times New Roman" w:cs="Times New Roman"/>
                <w:sz w:val="24"/>
                <w:szCs w:val="24"/>
              </w:rPr>
              <w:t xml:space="preserve">Certificate of </w:t>
            </w:r>
            <w:proofErr w:type="spellStart"/>
            <w:r>
              <w:rPr>
                <w:rFonts w:ascii="Times New Roman" w:hAnsi="Times New Roman" w:cs="Times New Roman"/>
                <w:sz w:val="24"/>
                <w:szCs w:val="24"/>
              </w:rPr>
              <w:t>Incorproation</w:t>
            </w:r>
            <w:proofErr w:type="spellEnd"/>
            <w:r>
              <w:rPr>
                <w:rFonts w:ascii="Times New Roman" w:hAnsi="Times New Roman" w:cs="Times New Roman"/>
                <w:sz w:val="24"/>
                <w:szCs w:val="24"/>
              </w:rPr>
              <w:t>/ Commencement of Business</w:t>
            </w:r>
          </w:p>
        </w:tc>
      </w:tr>
      <w:tr w:rsidR="00852D64" w:rsidTr="00C97B6D">
        <w:tc>
          <w:tcPr>
            <w:tcW w:w="1008" w:type="dxa"/>
          </w:tcPr>
          <w:p w:rsidR="00852D64" w:rsidRDefault="00852D64" w:rsidP="006263C8">
            <w:pPr>
              <w:jc w:val="both"/>
              <w:rPr>
                <w:rFonts w:ascii="Times New Roman" w:hAnsi="Times New Roman" w:cs="Times New Roman"/>
                <w:sz w:val="24"/>
                <w:szCs w:val="24"/>
              </w:rPr>
            </w:pPr>
          </w:p>
        </w:tc>
        <w:tc>
          <w:tcPr>
            <w:tcW w:w="8756" w:type="dxa"/>
          </w:tcPr>
          <w:p w:rsidR="00852D64" w:rsidRDefault="00852D64" w:rsidP="006263C8">
            <w:pPr>
              <w:jc w:val="both"/>
              <w:rPr>
                <w:rFonts w:ascii="Times New Roman" w:hAnsi="Times New Roman" w:cs="Times New Roman"/>
                <w:sz w:val="24"/>
                <w:szCs w:val="24"/>
              </w:rPr>
            </w:pPr>
            <w:r>
              <w:rPr>
                <w:rFonts w:ascii="Times New Roman" w:hAnsi="Times New Roman" w:cs="Times New Roman"/>
                <w:sz w:val="24"/>
                <w:szCs w:val="24"/>
              </w:rPr>
              <w:t>Memorandum &amp; Articles of Association</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Minute Books of General Meetings, Board and Committee Meetings as per Companies Act, 2013</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Pr>
                <w:rFonts w:ascii="Times New Roman" w:hAnsi="Times New Roman" w:cs="Times New Roman"/>
                <w:sz w:val="24"/>
                <w:szCs w:val="24"/>
              </w:rPr>
              <w:t>License and Permissions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t>Register of Members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t>Index of Members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Agreements made by the Company with Stock Exchanges, Depositories, etc.</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 xml:space="preserve">Records relating to Court Cases / CBI Cases / Police Cases/ Civil Suits/ </w:t>
            </w:r>
            <w:proofErr w:type="spellStart"/>
            <w:r w:rsidRPr="006D5470">
              <w:rPr>
                <w:rFonts w:ascii="Times New Roman" w:hAnsi="Times New Roman" w:cs="Times New Roman"/>
                <w:sz w:val="24"/>
                <w:szCs w:val="24"/>
              </w:rPr>
              <w:t>Labour</w:t>
            </w:r>
            <w:proofErr w:type="spellEnd"/>
            <w:r w:rsidRPr="006D5470">
              <w:rPr>
                <w:rFonts w:ascii="Times New Roman" w:hAnsi="Times New Roman" w:cs="Times New Roman"/>
                <w:sz w:val="24"/>
                <w:szCs w:val="24"/>
              </w:rPr>
              <w:t xml:space="preserve"> Court Cases/ Arbitration Cases.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Files relating to premises for instance Title Deeds/Lease Deeds of owned premises/land and building, etc. and related Ledger / Register</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Authorization / licenses obtained from any statutory authority</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Policies of the Company framed under various regulations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Register of preservation and disposal of records</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Register of Power of attorneys, if any</w:t>
            </w:r>
          </w:p>
        </w:tc>
      </w:tr>
      <w:tr w:rsidR="002E291C" w:rsidTr="00C97B6D">
        <w:tc>
          <w:tcPr>
            <w:tcW w:w="1008" w:type="dxa"/>
          </w:tcPr>
          <w:p w:rsidR="002E291C" w:rsidRDefault="002E291C" w:rsidP="006263C8">
            <w:pPr>
              <w:jc w:val="both"/>
              <w:rPr>
                <w:rFonts w:ascii="Times New Roman" w:hAnsi="Times New Roman" w:cs="Times New Roman"/>
                <w:sz w:val="24"/>
                <w:szCs w:val="24"/>
              </w:rPr>
            </w:pPr>
          </w:p>
        </w:tc>
        <w:tc>
          <w:tcPr>
            <w:tcW w:w="8756" w:type="dxa"/>
          </w:tcPr>
          <w:p w:rsidR="002E291C" w:rsidRDefault="002E291C" w:rsidP="006263C8">
            <w:pPr>
              <w:jc w:val="both"/>
              <w:rPr>
                <w:rFonts w:ascii="Times New Roman" w:hAnsi="Times New Roman" w:cs="Times New Roman"/>
                <w:sz w:val="24"/>
                <w:szCs w:val="24"/>
              </w:rPr>
            </w:pPr>
            <w:r w:rsidRPr="006D5470">
              <w:rPr>
                <w:rFonts w:ascii="Times New Roman" w:hAnsi="Times New Roman" w:cs="Times New Roman"/>
                <w:sz w:val="24"/>
                <w:szCs w:val="24"/>
              </w:rPr>
              <w:t>Certificates obtained from various statutory authorities</w:t>
            </w:r>
          </w:p>
        </w:tc>
      </w:tr>
    </w:tbl>
    <w:p w:rsidR="003D16B0" w:rsidRPr="006D5470" w:rsidRDefault="003D16B0" w:rsidP="006263C8">
      <w:pPr>
        <w:pStyle w:val="Heading7"/>
        <w:spacing w:line="240" w:lineRule="auto"/>
        <w:jc w:val="both"/>
        <w:rPr>
          <w:rFonts w:ascii="Times New Roman" w:hAnsi="Times New Roman" w:cs="Times New Roman"/>
          <w:sz w:val="24"/>
          <w:szCs w:val="24"/>
        </w:rPr>
      </w:pPr>
      <w:r w:rsidRPr="006D5470">
        <w:rPr>
          <w:rFonts w:ascii="Times New Roman" w:hAnsi="Times New Roman" w:cs="Times New Roman"/>
          <w:sz w:val="24"/>
          <w:szCs w:val="24"/>
        </w:rPr>
        <w:t>ANNEXURE – B</w:t>
      </w:r>
    </w:p>
    <w:p w:rsidR="003D16B0" w:rsidRPr="006D5470" w:rsidRDefault="003D16B0" w:rsidP="006263C8">
      <w:pPr>
        <w:spacing w:after="0" w:line="240" w:lineRule="auto"/>
        <w:ind w:left="720"/>
        <w:jc w:val="both"/>
        <w:rPr>
          <w:rFonts w:ascii="Times New Roman" w:hAnsi="Times New Roman" w:cs="Times New Roman"/>
          <w:sz w:val="24"/>
          <w:szCs w:val="24"/>
        </w:rPr>
      </w:pPr>
      <w:r w:rsidRPr="006D5470">
        <w:rPr>
          <w:rFonts w:ascii="Times New Roman" w:hAnsi="Times New Roman" w:cs="Times New Roman"/>
          <w:sz w:val="24"/>
          <w:szCs w:val="24"/>
        </w:rPr>
        <w:t>Records to be preserved for minimum period of eight years</w:t>
      </w:r>
    </w:p>
    <w:tbl>
      <w:tblPr>
        <w:tblStyle w:val="TableGrid"/>
        <w:tblpPr w:leftFromText="180" w:rightFromText="180" w:vertAnchor="text" w:horzAnchor="margin" w:tblpXSpec="center" w:tblpY="211"/>
        <w:tblOverlap w:val="never"/>
        <w:tblW w:w="0" w:type="auto"/>
        <w:tblLayout w:type="fixed"/>
        <w:tblLook w:val="04A0" w:firstRow="1" w:lastRow="0" w:firstColumn="1" w:lastColumn="0" w:noHBand="0" w:noVBand="1"/>
      </w:tblPr>
      <w:tblGrid>
        <w:gridCol w:w="828"/>
        <w:gridCol w:w="7902"/>
      </w:tblGrid>
      <w:tr w:rsidR="003D16B0" w:rsidRPr="006D5470" w:rsidTr="00C97B6D">
        <w:tc>
          <w:tcPr>
            <w:tcW w:w="828" w:type="dxa"/>
          </w:tcPr>
          <w:p w:rsidR="003D16B0" w:rsidRPr="006D5470" w:rsidRDefault="003D16B0" w:rsidP="006263C8">
            <w:pPr>
              <w:jc w:val="both"/>
              <w:rPr>
                <w:rFonts w:ascii="Times New Roman" w:hAnsi="Times New Roman" w:cs="Times New Roman"/>
                <w:b/>
                <w:sz w:val="24"/>
                <w:szCs w:val="24"/>
              </w:rPr>
            </w:pPr>
            <w:r w:rsidRPr="006D5470">
              <w:rPr>
                <w:rFonts w:ascii="Times New Roman" w:hAnsi="Times New Roman" w:cs="Times New Roman"/>
                <w:b/>
                <w:sz w:val="24"/>
                <w:szCs w:val="24"/>
              </w:rPr>
              <w:t>Item No.</w:t>
            </w:r>
          </w:p>
        </w:tc>
        <w:tc>
          <w:tcPr>
            <w:tcW w:w="7902" w:type="dxa"/>
          </w:tcPr>
          <w:p w:rsidR="003D16B0" w:rsidRPr="006D5470" w:rsidRDefault="003D16B0" w:rsidP="006263C8">
            <w:pPr>
              <w:jc w:val="both"/>
              <w:rPr>
                <w:rFonts w:ascii="Times New Roman" w:hAnsi="Times New Roman" w:cs="Times New Roman"/>
                <w:b/>
                <w:sz w:val="24"/>
                <w:szCs w:val="24"/>
              </w:rPr>
            </w:pPr>
            <w:r w:rsidRPr="006D5470">
              <w:rPr>
                <w:rFonts w:ascii="Times New Roman" w:hAnsi="Times New Roman" w:cs="Times New Roman"/>
                <w:b/>
                <w:sz w:val="24"/>
                <w:szCs w:val="24"/>
              </w:rPr>
              <w:t>Records</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Instrument creating charge  or modification (from the date of satisfaction of charge)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Register of Inter Corporate Loans and Investments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Annual Returns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Register of Deposits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Register of Allotment (from the date of each allotment)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Annual financial statements including:</w:t>
            </w:r>
          </w:p>
          <w:p w:rsidR="003D16B0" w:rsidRPr="006D5470" w:rsidRDefault="003D16B0" w:rsidP="006263C8">
            <w:pPr>
              <w:tabs>
                <w:tab w:val="left" w:pos="2145"/>
              </w:tabs>
              <w:ind w:left="1872"/>
              <w:jc w:val="both"/>
              <w:rPr>
                <w:rFonts w:ascii="Times New Roman" w:hAnsi="Times New Roman" w:cs="Times New Roman"/>
                <w:sz w:val="24"/>
                <w:szCs w:val="24"/>
              </w:rPr>
            </w:pPr>
            <w:r w:rsidRPr="006D5470">
              <w:rPr>
                <w:rFonts w:ascii="Times New Roman" w:hAnsi="Times New Roman" w:cs="Times New Roman"/>
                <w:sz w:val="24"/>
                <w:szCs w:val="24"/>
              </w:rPr>
              <w:t>- Annual accounts</w:t>
            </w:r>
            <w:r w:rsidRPr="006D5470">
              <w:rPr>
                <w:rFonts w:ascii="Times New Roman" w:hAnsi="Times New Roman" w:cs="Times New Roman"/>
                <w:sz w:val="24"/>
                <w:szCs w:val="24"/>
              </w:rPr>
              <w:tab/>
            </w:r>
          </w:p>
          <w:p w:rsidR="003D16B0" w:rsidRPr="006D5470" w:rsidRDefault="003D16B0" w:rsidP="006263C8">
            <w:pPr>
              <w:ind w:left="1872"/>
              <w:jc w:val="both"/>
              <w:rPr>
                <w:rFonts w:ascii="Times New Roman" w:hAnsi="Times New Roman" w:cs="Times New Roman"/>
                <w:sz w:val="24"/>
                <w:szCs w:val="24"/>
              </w:rPr>
            </w:pPr>
            <w:r w:rsidRPr="006D5470">
              <w:rPr>
                <w:rFonts w:ascii="Times New Roman" w:hAnsi="Times New Roman" w:cs="Times New Roman"/>
                <w:sz w:val="24"/>
                <w:szCs w:val="24"/>
              </w:rPr>
              <w:t>-Directors report</w:t>
            </w:r>
          </w:p>
          <w:p w:rsidR="003D16B0" w:rsidRPr="006D5470" w:rsidRDefault="003D16B0" w:rsidP="006263C8">
            <w:pPr>
              <w:ind w:left="1872"/>
              <w:jc w:val="both"/>
              <w:rPr>
                <w:rFonts w:ascii="Times New Roman" w:hAnsi="Times New Roman" w:cs="Times New Roman"/>
                <w:sz w:val="24"/>
                <w:szCs w:val="24"/>
              </w:rPr>
            </w:pPr>
            <w:r w:rsidRPr="006D5470">
              <w:rPr>
                <w:rFonts w:ascii="Times New Roman" w:hAnsi="Times New Roman" w:cs="Times New Roman"/>
                <w:sz w:val="24"/>
                <w:szCs w:val="24"/>
              </w:rPr>
              <w:t>-Auditors report</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Vouchers / Voucher register and books of accounts as defined under sub-section 13 of section 2 of the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Income Tax Returns filed under Income Tax Act, 1961</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 xml:space="preserve">All notices in form MBP – 1 received from Directors and KMPs </w:t>
            </w:r>
            <w:proofErr w:type="spellStart"/>
            <w:r w:rsidRPr="006D5470">
              <w:rPr>
                <w:rFonts w:ascii="Times New Roman" w:hAnsi="Times New Roman" w:cs="Times New Roman"/>
                <w:sz w:val="24"/>
                <w:szCs w:val="24"/>
              </w:rPr>
              <w:t>alongwith</w:t>
            </w:r>
            <w:proofErr w:type="spellEnd"/>
            <w:r w:rsidRPr="006D5470">
              <w:rPr>
                <w:rFonts w:ascii="Times New Roman" w:hAnsi="Times New Roman" w:cs="Times New Roman"/>
                <w:sz w:val="24"/>
                <w:szCs w:val="24"/>
              </w:rPr>
              <w:t xml:space="preserve"> any amendment thereto</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Return of declaration in respect of beneficial interest in any share  as per Companies Act, 2013</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Copy of newspaper advertisement or publications</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All agreement entered into by the Company from the date of its termination</w:t>
            </w:r>
          </w:p>
        </w:tc>
      </w:tr>
      <w:tr w:rsidR="003D16B0" w:rsidRPr="006D5470" w:rsidTr="00C97B6D">
        <w:tc>
          <w:tcPr>
            <w:tcW w:w="828" w:type="dxa"/>
          </w:tcPr>
          <w:p w:rsidR="003D16B0" w:rsidRPr="006D5470" w:rsidRDefault="003D16B0" w:rsidP="006263C8">
            <w:pPr>
              <w:pStyle w:val="ListParagraph"/>
              <w:numPr>
                <w:ilvl w:val="0"/>
                <w:numId w:val="16"/>
              </w:numPr>
              <w:jc w:val="both"/>
              <w:rPr>
                <w:rFonts w:ascii="Times New Roman" w:hAnsi="Times New Roman" w:cs="Times New Roman"/>
                <w:sz w:val="24"/>
                <w:szCs w:val="24"/>
              </w:rPr>
            </w:pPr>
          </w:p>
        </w:tc>
        <w:tc>
          <w:tcPr>
            <w:tcW w:w="7902" w:type="dxa"/>
          </w:tcPr>
          <w:p w:rsidR="003D16B0" w:rsidRPr="006D5470" w:rsidRDefault="003D16B0" w:rsidP="006263C8">
            <w:pPr>
              <w:jc w:val="both"/>
              <w:rPr>
                <w:rFonts w:ascii="Times New Roman" w:hAnsi="Times New Roman" w:cs="Times New Roman"/>
                <w:sz w:val="24"/>
                <w:szCs w:val="24"/>
              </w:rPr>
            </w:pPr>
            <w:r w:rsidRPr="006D5470">
              <w:rPr>
                <w:rFonts w:ascii="Times New Roman" w:hAnsi="Times New Roman" w:cs="Times New Roman"/>
                <w:sz w:val="24"/>
                <w:szCs w:val="24"/>
              </w:rPr>
              <w:t xml:space="preserve">All show cause notice or any other notice received from any statutory , government departments, Judicial or Quasi-judicial authority etc. </w:t>
            </w:r>
          </w:p>
        </w:tc>
      </w:tr>
    </w:tbl>
    <w:p w:rsidR="003D16B0" w:rsidRPr="006D5470" w:rsidRDefault="003D16B0" w:rsidP="006263C8">
      <w:pPr>
        <w:spacing w:after="0" w:line="240" w:lineRule="auto"/>
        <w:ind w:left="720"/>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spacing w:line="240" w:lineRule="auto"/>
        <w:jc w:val="both"/>
        <w:rPr>
          <w:rFonts w:ascii="Times New Roman" w:hAnsi="Times New Roman" w:cs="Times New Roman"/>
          <w:sz w:val="24"/>
          <w:szCs w:val="24"/>
        </w:rPr>
      </w:pPr>
    </w:p>
    <w:p w:rsidR="003D16B0" w:rsidRPr="006D5470" w:rsidRDefault="003D16B0" w:rsidP="006263C8">
      <w:pPr>
        <w:tabs>
          <w:tab w:val="left" w:pos="2745"/>
        </w:tabs>
        <w:spacing w:line="240" w:lineRule="auto"/>
        <w:jc w:val="both"/>
        <w:rPr>
          <w:rFonts w:ascii="Times New Roman" w:hAnsi="Times New Roman" w:cs="Times New Roman"/>
          <w:sz w:val="24"/>
          <w:szCs w:val="24"/>
        </w:rPr>
      </w:pPr>
    </w:p>
    <w:p w:rsidR="003D16B0" w:rsidRPr="006D5470" w:rsidRDefault="003D16B0" w:rsidP="006263C8">
      <w:pPr>
        <w:autoSpaceDE w:val="0"/>
        <w:autoSpaceDN w:val="0"/>
        <w:adjustRightInd w:val="0"/>
        <w:spacing w:after="0" w:line="240" w:lineRule="auto"/>
        <w:jc w:val="both"/>
        <w:rPr>
          <w:rFonts w:ascii="Times New Roman" w:hAnsi="Times New Roman" w:cs="Times New Roman"/>
          <w:color w:val="000000"/>
          <w:sz w:val="24"/>
          <w:szCs w:val="24"/>
        </w:rPr>
      </w:pPr>
    </w:p>
    <w:p w:rsidR="003D16B0" w:rsidRPr="006D5470" w:rsidRDefault="003D16B0" w:rsidP="006263C8">
      <w:pPr>
        <w:autoSpaceDE w:val="0"/>
        <w:autoSpaceDN w:val="0"/>
        <w:adjustRightInd w:val="0"/>
        <w:spacing w:after="0" w:line="240" w:lineRule="auto"/>
        <w:jc w:val="both"/>
        <w:rPr>
          <w:rFonts w:ascii="Times New Roman" w:hAnsi="Times New Roman" w:cs="Times New Roman"/>
          <w:color w:val="000000"/>
          <w:sz w:val="24"/>
          <w:szCs w:val="24"/>
        </w:rPr>
      </w:pPr>
    </w:p>
    <w:p w:rsidR="003D16B0" w:rsidRPr="006D5470" w:rsidRDefault="003D16B0" w:rsidP="006263C8">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sectPr w:rsidR="003D16B0" w:rsidRPr="006D5470" w:rsidSect="002912E4">
      <w:headerReference w:type="default" r:id="rId8"/>
      <w:footerReference w:type="default" r:id="rId9"/>
      <w:pgSz w:w="12240" w:h="16340"/>
      <w:pgMar w:top="535" w:right="442" w:bottom="653"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4A" w:rsidRDefault="0039074A" w:rsidP="0091276D">
      <w:pPr>
        <w:spacing w:after="0" w:line="240" w:lineRule="auto"/>
      </w:pPr>
      <w:r>
        <w:separator/>
      </w:r>
    </w:p>
  </w:endnote>
  <w:endnote w:type="continuationSeparator" w:id="0">
    <w:p w:rsidR="0039074A" w:rsidRDefault="0039074A" w:rsidP="0091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962720"/>
      <w:docPartObj>
        <w:docPartGallery w:val="Page Numbers (Bottom of Page)"/>
        <w:docPartUnique/>
      </w:docPartObj>
    </w:sdtPr>
    <w:sdtEndPr/>
    <w:sdtContent>
      <w:sdt>
        <w:sdtPr>
          <w:id w:val="-1705238520"/>
          <w:docPartObj>
            <w:docPartGallery w:val="Page Numbers (Top of Page)"/>
            <w:docPartUnique/>
          </w:docPartObj>
        </w:sdtPr>
        <w:sdtEndPr/>
        <w:sdtContent>
          <w:p w:rsidR="00D04E3B" w:rsidRDefault="00D04E3B" w:rsidP="0091276D">
            <w:pPr>
              <w:pStyle w:val="Footer"/>
            </w:pPr>
            <w:r w:rsidRPr="00201BE9">
              <w:rPr>
                <w:rFonts w:ascii="Times New Roman" w:hAnsi="Times New Roman" w:cs="Times New Roman"/>
                <w:sz w:val="20"/>
                <w:szCs w:val="20"/>
              </w:rPr>
              <w:t xml:space="preserve">Page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PAGE </w:instrText>
            </w:r>
            <w:r w:rsidRPr="00201BE9">
              <w:rPr>
                <w:rFonts w:ascii="Times New Roman" w:hAnsi="Times New Roman" w:cs="Times New Roman"/>
                <w:b/>
                <w:bCs/>
                <w:sz w:val="20"/>
                <w:szCs w:val="20"/>
              </w:rPr>
              <w:fldChar w:fldCharType="separate"/>
            </w:r>
            <w:r w:rsidR="00457672">
              <w:rPr>
                <w:rFonts w:ascii="Times New Roman" w:hAnsi="Times New Roman" w:cs="Times New Roman"/>
                <w:b/>
                <w:bCs/>
                <w:noProof/>
                <w:sz w:val="20"/>
                <w:szCs w:val="20"/>
              </w:rPr>
              <w:t>5</w:t>
            </w:r>
            <w:r w:rsidRPr="00201BE9">
              <w:rPr>
                <w:rFonts w:ascii="Times New Roman" w:hAnsi="Times New Roman" w:cs="Times New Roman"/>
                <w:b/>
                <w:bCs/>
                <w:sz w:val="20"/>
                <w:szCs w:val="20"/>
              </w:rPr>
              <w:fldChar w:fldCharType="end"/>
            </w:r>
            <w:r w:rsidRPr="00201BE9">
              <w:rPr>
                <w:rFonts w:ascii="Times New Roman" w:hAnsi="Times New Roman" w:cs="Times New Roman"/>
                <w:sz w:val="20"/>
                <w:szCs w:val="20"/>
              </w:rPr>
              <w:t xml:space="preserve"> of </w:t>
            </w:r>
            <w:r w:rsidRPr="00201BE9">
              <w:rPr>
                <w:rFonts w:ascii="Times New Roman" w:hAnsi="Times New Roman" w:cs="Times New Roman"/>
                <w:b/>
                <w:bCs/>
                <w:sz w:val="20"/>
                <w:szCs w:val="20"/>
              </w:rPr>
              <w:fldChar w:fldCharType="begin"/>
            </w:r>
            <w:r w:rsidRPr="00201BE9">
              <w:rPr>
                <w:rFonts w:ascii="Times New Roman" w:hAnsi="Times New Roman" w:cs="Times New Roman"/>
                <w:b/>
                <w:bCs/>
                <w:sz w:val="20"/>
                <w:szCs w:val="20"/>
              </w:rPr>
              <w:instrText xml:space="preserve"> NUMPAGES  </w:instrText>
            </w:r>
            <w:r w:rsidRPr="00201BE9">
              <w:rPr>
                <w:rFonts w:ascii="Times New Roman" w:hAnsi="Times New Roman" w:cs="Times New Roman"/>
                <w:b/>
                <w:bCs/>
                <w:sz w:val="20"/>
                <w:szCs w:val="20"/>
              </w:rPr>
              <w:fldChar w:fldCharType="separate"/>
            </w:r>
            <w:r w:rsidR="00457672">
              <w:rPr>
                <w:rFonts w:ascii="Times New Roman" w:hAnsi="Times New Roman" w:cs="Times New Roman"/>
                <w:b/>
                <w:bCs/>
                <w:noProof/>
                <w:sz w:val="20"/>
                <w:szCs w:val="20"/>
              </w:rPr>
              <w:t>5</w:t>
            </w:r>
            <w:r w:rsidRPr="00201BE9">
              <w:rPr>
                <w:rFonts w:ascii="Times New Roman" w:hAnsi="Times New Roman" w:cs="Times New Roman"/>
                <w:b/>
                <w:bCs/>
                <w:sz w:val="20"/>
                <w:szCs w:val="20"/>
              </w:rPr>
              <w:fldChar w:fldCharType="end"/>
            </w:r>
            <w:r>
              <w:rPr>
                <w:rFonts w:ascii="Times New Roman" w:hAnsi="Times New Roman" w:cs="Times New Roman"/>
                <w:b/>
                <w:bCs/>
                <w:sz w:val="20"/>
                <w:szCs w:val="20"/>
              </w:rPr>
              <w:t xml:space="preserve">                                                                                                                     </w:t>
            </w:r>
          </w:p>
        </w:sdtContent>
      </w:sdt>
    </w:sdtContent>
  </w:sdt>
  <w:p w:rsidR="00D04E3B" w:rsidRDefault="00D04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4A" w:rsidRDefault="0039074A" w:rsidP="0091276D">
      <w:pPr>
        <w:spacing w:after="0" w:line="240" w:lineRule="auto"/>
      </w:pPr>
      <w:r>
        <w:separator/>
      </w:r>
    </w:p>
  </w:footnote>
  <w:footnote w:type="continuationSeparator" w:id="0">
    <w:p w:rsidR="0039074A" w:rsidRDefault="0039074A" w:rsidP="0091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E3B" w:rsidRPr="0091276D" w:rsidRDefault="00D04E3B" w:rsidP="009127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F39"/>
    <w:multiLevelType w:val="hybridMultilevel"/>
    <w:tmpl w:val="09D69F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E2DE5"/>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4AA7"/>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43976"/>
    <w:multiLevelType w:val="hybridMultilevel"/>
    <w:tmpl w:val="32BCAAF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C2333"/>
    <w:multiLevelType w:val="hybridMultilevel"/>
    <w:tmpl w:val="A4EEC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841AE"/>
    <w:multiLevelType w:val="hybridMultilevel"/>
    <w:tmpl w:val="252A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94ECF"/>
    <w:multiLevelType w:val="hybridMultilevel"/>
    <w:tmpl w:val="2564F84E"/>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2D17008A"/>
    <w:multiLevelType w:val="hybridMultilevel"/>
    <w:tmpl w:val="46268C44"/>
    <w:lvl w:ilvl="0" w:tplc="BD4CA1EC">
      <w:start w:val="1"/>
      <w:numFmt w:val="lowerLetter"/>
      <w:lvlText w:val="%1)"/>
      <w:lvlJc w:val="left"/>
      <w:pPr>
        <w:tabs>
          <w:tab w:val="num" w:pos="720"/>
        </w:tabs>
        <w:ind w:left="720" w:hanging="72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357E540C"/>
    <w:multiLevelType w:val="hybridMultilevel"/>
    <w:tmpl w:val="29D2D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514AE"/>
    <w:multiLevelType w:val="hybridMultilevel"/>
    <w:tmpl w:val="1F7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53F1D"/>
    <w:multiLevelType w:val="hybridMultilevel"/>
    <w:tmpl w:val="45043064"/>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51AD"/>
    <w:multiLevelType w:val="hybridMultilevel"/>
    <w:tmpl w:val="A4306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E0D50"/>
    <w:multiLevelType w:val="hybridMultilevel"/>
    <w:tmpl w:val="0C961D1A"/>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C4E6C"/>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40AE1F7F"/>
    <w:multiLevelType w:val="hybridMultilevel"/>
    <w:tmpl w:val="F3D24E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8FB12F1"/>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BF77D8D"/>
    <w:multiLevelType w:val="hybridMultilevel"/>
    <w:tmpl w:val="A8CC45D0"/>
    <w:lvl w:ilvl="0" w:tplc="C8700AA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CA77619"/>
    <w:multiLevelType w:val="hybridMultilevel"/>
    <w:tmpl w:val="9D6CC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30ECC"/>
    <w:multiLevelType w:val="hybridMultilevel"/>
    <w:tmpl w:val="FE6E7F00"/>
    <w:lvl w:ilvl="0" w:tplc="AEB6F8DC">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509DF"/>
    <w:multiLevelType w:val="hybridMultilevel"/>
    <w:tmpl w:val="3B7A04D6"/>
    <w:lvl w:ilvl="0" w:tplc="B07C33A8">
      <w:start w:val="1"/>
      <w:numFmt w:val="decimal"/>
      <w:lvlText w:val="%1-"/>
      <w:lvlJc w:val="left"/>
      <w:pPr>
        <w:ind w:left="765" w:hanging="720"/>
      </w:pPr>
      <w:rPr>
        <w:rFonts w:asciiTheme="minorHAnsi" w:hAnsiTheme="minorHAnsi" w:cstheme="minorBidi" w:hint="default"/>
        <w:b w:val="0"/>
        <w:sz w:val="22"/>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56EC7628"/>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94702"/>
    <w:multiLevelType w:val="hybridMultilevel"/>
    <w:tmpl w:val="306CFEBE"/>
    <w:lvl w:ilvl="0" w:tplc="45482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D3C23"/>
    <w:multiLevelType w:val="hybridMultilevel"/>
    <w:tmpl w:val="A45274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0529D6"/>
    <w:multiLevelType w:val="hybridMultilevel"/>
    <w:tmpl w:val="402A1036"/>
    <w:lvl w:ilvl="0" w:tplc="D4767216">
      <w:start w:val="1"/>
      <w:numFmt w:val="lowerLetter"/>
      <w:lvlText w:val="(%1)"/>
      <w:lvlJc w:val="left"/>
      <w:pPr>
        <w:ind w:left="420" w:hanging="36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17"/>
  </w:num>
  <w:num w:numId="3">
    <w:abstractNumId w:val="0"/>
  </w:num>
  <w:num w:numId="4">
    <w:abstractNumId w:val="1"/>
  </w:num>
  <w:num w:numId="5">
    <w:abstractNumId w:val="10"/>
  </w:num>
  <w:num w:numId="6">
    <w:abstractNumId w:val="13"/>
  </w:num>
  <w:num w:numId="7">
    <w:abstractNumId w:val="12"/>
  </w:num>
  <w:num w:numId="8">
    <w:abstractNumId w:val="21"/>
  </w:num>
  <w:num w:numId="9">
    <w:abstractNumId w:val="22"/>
  </w:num>
  <w:num w:numId="10">
    <w:abstractNumId w:val="14"/>
  </w:num>
  <w:num w:numId="11">
    <w:abstractNumId w:val="2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2"/>
  </w:num>
  <w:num w:numId="17">
    <w:abstractNumId w:val="6"/>
  </w:num>
  <w:num w:numId="18">
    <w:abstractNumId w:val="9"/>
  </w:num>
  <w:num w:numId="19">
    <w:abstractNumId w:val="4"/>
  </w:num>
  <w:num w:numId="20">
    <w:abstractNumId w:val="15"/>
  </w:num>
  <w:num w:numId="21">
    <w:abstractNumId w:val="19"/>
  </w:num>
  <w:num w:numId="22">
    <w:abstractNumId w:val="18"/>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7D"/>
    <w:rsid w:val="00000A37"/>
    <w:rsid w:val="00003885"/>
    <w:rsid w:val="00012E3E"/>
    <w:rsid w:val="00040808"/>
    <w:rsid w:val="0006487E"/>
    <w:rsid w:val="00082998"/>
    <w:rsid w:val="000A6B83"/>
    <w:rsid w:val="000D5D0E"/>
    <w:rsid w:val="000E6477"/>
    <w:rsid w:val="001024E9"/>
    <w:rsid w:val="00113859"/>
    <w:rsid w:val="001305AB"/>
    <w:rsid w:val="001307AC"/>
    <w:rsid w:val="001354B5"/>
    <w:rsid w:val="001459F7"/>
    <w:rsid w:val="0015613E"/>
    <w:rsid w:val="001C26B1"/>
    <w:rsid w:val="001D627D"/>
    <w:rsid w:val="00246662"/>
    <w:rsid w:val="0026630C"/>
    <w:rsid w:val="00266889"/>
    <w:rsid w:val="00283A69"/>
    <w:rsid w:val="0028520D"/>
    <w:rsid w:val="00290AC5"/>
    <w:rsid w:val="002912E4"/>
    <w:rsid w:val="002B27F7"/>
    <w:rsid w:val="002E291C"/>
    <w:rsid w:val="002E5999"/>
    <w:rsid w:val="0030268D"/>
    <w:rsid w:val="0039074A"/>
    <w:rsid w:val="003C3B62"/>
    <w:rsid w:val="003D16B0"/>
    <w:rsid w:val="003D236E"/>
    <w:rsid w:val="003D7F83"/>
    <w:rsid w:val="003F3B19"/>
    <w:rsid w:val="003F576A"/>
    <w:rsid w:val="00405205"/>
    <w:rsid w:val="00442A7D"/>
    <w:rsid w:val="00457672"/>
    <w:rsid w:val="00467F64"/>
    <w:rsid w:val="004743BC"/>
    <w:rsid w:val="0047567F"/>
    <w:rsid w:val="004809DB"/>
    <w:rsid w:val="004E4C4E"/>
    <w:rsid w:val="004E5EF9"/>
    <w:rsid w:val="00504227"/>
    <w:rsid w:val="005354BD"/>
    <w:rsid w:val="00552361"/>
    <w:rsid w:val="005975EF"/>
    <w:rsid w:val="005A2712"/>
    <w:rsid w:val="005B1CC2"/>
    <w:rsid w:val="005E213F"/>
    <w:rsid w:val="006263C8"/>
    <w:rsid w:val="00643FC1"/>
    <w:rsid w:val="00644728"/>
    <w:rsid w:val="006517BA"/>
    <w:rsid w:val="0065529C"/>
    <w:rsid w:val="006D5470"/>
    <w:rsid w:val="007264D5"/>
    <w:rsid w:val="00735B13"/>
    <w:rsid w:val="0076255E"/>
    <w:rsid w:val="007637CF"/>
    <w:rsid w:val="00777722"/>
    <w:rsid w:val="00792A18"/>
    <w:rsid w:val="007E6940"/>
    <w:rsid w:val="00822880"/>
    <w:rsid w:val="008304C0"/>
    <w:rsid w:val="00852D64"/>
    <w:rsid w:val="008A1A60"/>
    <w:rsid w:val="008B7BE2"/>
    <w:rsid w:val="008F1FDB"/>
    <w:rsid w:val="0091276D"/>
    <w:rsid w:val="00940149"/>
    <w:rsid w:val="00947BD5"/>
    <w:rsid w:val="0095180D"/>
    <w:rsid w:val="00967685"/>
    <w:rsid w:val="00970F96"/>
    <w:rsid w:val="009B129D"/>
    <w:rsid w:val="009D7CD8"/>
    <w:rsid w:val="009E6742"/>
    <w:rsid w:val="00A32C71"/>
    <w:rsid w:val="00A62CD1"/>
    <w:rsid w:val="00A6350F"/>
    <w:rsid w:val="00A67B07"/>
    <w:rsid w:val="00A72CB0"/>
    <w:rsid w:val="00A93982"/>
    <w:rsid w:val="00AA6B1F"/>
    <w:rsid w:val="00AF0A31"/>
    <w:rsid w:val="00B06099"/>
    <w:rsid w:val="00B22087"/>
    <w:rsid w:val="00B54CB0"/>
    <w:rsid w:val="00B62E99"/>
    <w:rsid w:val="00B87F48"/>
    <w:rsid w:val="00BF4804"/>
    <w:rsid w:val="00BF54E3"/>
    <w:rsid w:val="00C10B4D"/>
    <w:rsid w:val="00C22500"/>
    <w:rsid w:val="00C22A06"/>
    <w:rsid w:val="00C25B81"/>
    <w:rsid w:val="00C37EC4"/>
    <w:rsid w:val="00C46047"/>
    <w:rsid w:val="00C47EC8"/>
    <w:rsid w:val="00C534C8"/>
    <w:rsid w:val="00C92A02"/>
    <w:rsid w:val="00C97B6D"/>
    <w:rsid w:val="00CA6A24"/>
    <w:rsid w:val="00CC560E"/>
    <w:rsid w:val="00CC6A9D"/>
    <w:rsid w:val="00CD45C2"/>
    <w:rsid w:val="00D04E3B"/>
    <w:rsid w:val="00D2401E"/>
    <w:rsid w:val="00D6052E"/>
    <w:rsid w:val="00D71D18"/>
    <w:rsid w:val="00D81DDD"/>
    <w:rsid w:val="00DA3C87"/>
    <w:rsid w:val="00DC0140"/>
    <w:rsid w:val="00E22169"/>
    <w:rsid w:val="00E650B1"/>
    <w:rsid w:val="00E66B7D"/>
    <w:rsid w:val="00E749F0"/>
    <w:rsid w:val="00E80C4D"/>
    <w:rsid w:val="00E8434C"/>
    <w:rsid w:val="00EA4709"/>
    <w:rsid w:val="00EC0391"/>
    <w:rsid w:val="00ED4FEC"/>
    <w:rsid w:val="00F329FE"/>
    <w:rsid w:val="00F446CE"/>
    <w:rsid w:val="00F5624F"/>
    <w:rsid w:val="00F645BA"/>
    <w:rsid w:val="00F6525B"/>
    <w:rsid w:val="00F9008B"/>
    <w:rsid w:val="00FA4746"/>
    <w:rsid w:val="00FC0359"/>
    <w:rsid w:val="00F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unhideWhenUsed/>
    <w:qFormat/>
    <w:rsid w:val="003D16B0"/>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A7D"/>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912E4"/>
    <w:pPr>
      <w:ind w:left="720"/>
      <w:contextualSpacing/>
    </w:pPr>
  </w:style>
  <w:style w:type="character" w:styleId="CommentReference">
    <w:name w:val="annotation reference"/>
    <w:basedOn w:val="DefaultParagraphFont"/>
    <w:uiPriority w:val="99"/>
    <w:semiHidden/>
    <w:unhideWhenUsed/>
    <w:rsid w:val="00F329FE"/>
    <w:rPr>
      <w:sz w:val="16"/>
      <w:szCs w:val="16"/>
    </w:rPr>
  </w:style>
  <w:style w:type="paragraph" w:styleId="CommentText">
    <w:name w:val="annotation text"/>
    <w:basedOn w:val="Normal"/>
    <w:link w:val="CommentTextChar"/>
    <w:uiPriority w:val="99"/>
    <w:semiHidden/>
    <w:unhideWhenUsed/>
    <w:rsid w:val="00F329FE"/>
    <w:pPr>
      <w:spacing w:line="240" w:lineRule="auto"/>
    </w:pPr>
    <w:rPr>
      <w:sz w:val="20"/>
      <w:szCs w:val="20"/>
    </w:rPr>
  </w:style>
  <w:style w:type="character" w:customStyle="1" w:styleId="CommentTextChar">
    <w:name w:val="Comment Text Char"/>
    <w:basedOn w:val="DefaultParagraphFont"/>
    <w:link w:val="CommentText"/>
    <w:uiPriority w:val="99"/>
    <w:semiHidden/>
    <w:rsid w:val="00F329FE"/>
    <w:rPr>
      <w:sz w:val="20"/>
      <w:szCs w:val="20"/>
    </w:rPr>
  </w:style>
  <w:style w:type="paragraph" w:styleId="CommentSubject">
    <w:name w:val="annotation subject"/>
    <w:basedOn w:val="CommentText"/>
    <w:next w:val="CommentText"/>
    <w:link w:val="CommentSubjectChar"/>
    <w:uiPriority w:val="99"/>
    <w:semiHidden/>
    <w:unhideWhenUsed/>
    <w:rsid w:val="00F329FE"/>
    <w:rPr>
      <w:b/>
      <w:bCs/>
    </w:rPr>
  </w:style>
  <w:style w:type="character" w:customStyle="1" w:styleId="CommentSubjectChar">
    <w:name w:val="Comment Subject Char"/>
    <w:basedOn w:val="CommentTextChar"/>
    <w:link w:val="CommentSubject"/>
    <w:uiPriority w:val="99"/>
    <w:semiHidden/>
    <w:rsid w:val="00F329FE"/>
    <w:rPr>
      <w:b/>
      <w:bCs/>
      <w:sz w:val="20"/>
      <w:szCs w:val="20"/>
    </w:rPr>
  </w:style>
  <w:style w:type="paragraph" w:styleId="BalloonText">
    <w:name w:val="Balloon Text"/>
    <w:basedOn w:val="Normal"/>
    <w:link w:val="BalloonTextChar"/>
    <w:uiPriority w:val="99"/>
    <w:semiHidden/>
    <w:unhideWhenUsed/>
    <w:rsid w:val="00F32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FE"/>
    <w:rPr>
      <w:rFonts w:ascii="Segoe UI" w:hAnsi="Segoe UI" w:cs="Segoe UI"/>
      <w:sz w:val="18"/>
      <w:szCs w:val="18"/>
    </w:rPr>
  </w:style>
  <w:style w:type="paragraph" w:styleId="Header">
    <w:name w:val="header"/>
    <w:basedOn w:val="Normal"/>
    <w:link w:val="HeaderChar"/>
    <w:uiPriority w:val="99"/>
    <w:unhideWhenUsed/>
    <w:rsid w:val="00912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76D"/>
  </w:style>
  <w:style w:type="paragraph" w:styleId="Footer">
    <w:name w:val="footer"/>
    <w:basedOn w:val="Normal"/>
    <w:link w:val="FooterChar"/>
    <w:uiPriority w:val="99"/>
    <w:unhideWhenUsed/>
    <w:rsid w:val="00912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76D"/>
  </w:style>
  <w:style w:type="character" w:customStyle="1" w:styleId="Heading7Char">
    <w:name w:val="Heading 7 Char"/>
    <w:basedOn w:val="DefaultParagraphFont"/>
    <w:link w:val="Heading7"/>
    <w:uiPriority w:val="9"/>
    <w:rsid w:val="003D16B0"/>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3D16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 B. SINGAL</dc:creator>
  <cp:lastModifiedBy>Rajiv Maheshwari</cp:lastModifiedBy>
  <cp:revision>3</cp:revision>
  <cp:lastPrinted>2016-01-25T11:19:00Z</cp:lastPrinted>
  <dcterms:created xsi:type="dcterms:W3CDTF">2016-02-09T06:05:00Z</dcterms:created>
  <dcterms:modified xsi:type="dcterms:W3CDTF">2016-02-09T06:07:00Z</dcterms:modified>
</cp:coreProperties>
</file>